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IA-12 — Faire construire un graphe par un agent</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IA6 · Agents et protocoles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REF-136, REF-137, REF-138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Faire construire une définition par un agent connecté à Grasshopper, et relever le résultat produit.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IA-07</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0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Faire construire une définition par un agent connecté à Grasshopper, et relever le résultat produit.</w:t>
      </w:r>
    </w:p>
    <w:p>
      <w:pPr>
        <w:spacing w:before="200" w:after="60"/>
      </w:pPr>
      <w:r>
        <w:rPr>
          <w:rFonts w:ascii="Calibri" w:hAnsi="Calibri"/>
          <w:b/>
          <w:color w:val="444A52"/>
          <w:sz w:val="22"/>
        </w:rPr>
        <w:t>Contexte</w:t>
      </w:r>
    </w:p>
    <w:p>
      <w:pPr>
        <w:spacing w:before="0" w:after="80"/>
      </w:pPr>
      <w:r>
        <w:rPr>
          <w:rFonts w:ascii="Calibri" w:hAnsi="Calibri"/>
          <w:b w:val="0"/>
          <w:i w:val="0"/>
          <w:sz w:val="21"/>
        </w:rPr>
        <w:t>Une série de définitions répétitives doit être produite : les monter une à une à la main n'est pas raisonnable.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Avec un agent relié à Grasshopper, faites construire une définition qui répartit des points le long d'une courbe et renvoie la longueur cumulée des segments obtenus. Travaillez sur une copie du fichier, et donnez la longueur obtenue.</w:t>
            </w:r>
          </w:p>
        </w:tc>
      </w:tr>
    </w:tbl>
    <w:p>
      <w:pPr>
        <w:spacing w:after="0"/>
      </w:pPr>
    </w:p>
    <w:p>
      <w:pPr>
        <w:spacing w:before="80" w:after="40"/>
        <w:jc w:val="center"/>
      </w:pPr>
      <w:r>
        <w:drawing>
          <wp:inline xmlns:a="http://schemas.openxmlformats.org/drawingml/2006/main" xmlns:pic="http://schemas.openxmlformats.org/drawingml/2006/picture">
            <wp:extent cx="5903999" cy="2770872"/>
            <wp:docPr id="1" name="Picture 1"/>
            <wp:cNvGraphicFramePr>
              <a:graphicFrameLocks noChangeAspect="1"/>
            </wp:cNvGraphicFramePr>
            <a:graphic>
              <a:graphicData uri="http://schemas.openxmlformats.org/drawingml/2006/picture">
                <pic:pic>
                  <pic:nvPicPr>
                    <pic:cNvPr id="0" name="IA-12_canvas_sujet.png"/>
                    <pic:cNvPicPr/>
                  </pic:nvPicPr>
                  <pic:blipFill>
                    <a:blip r:embed="rId10"/>
                    <a:stretch>
                      <a:fillRect/>
                    </a:stretch>
                  </pic:blipFill>
                  <pic:spPr>
                    <a:xfrm>
                      <a:off x="0" y="0"/>
                      <a:ext cx="5903999" cy="2770872"/>
                    </a:xfrm>
                    <a:prstGeom prst="rect"/>
                  </pic:spPr>
                </pic:pic>
              </a:graphicData>
            </a:graphic>
          </wp:inline>
        </w:drawing>
      </w:r>
    </w:p>
    <w:p>
      <w:pPr>
        <w:spacing w:after="160"/>
        <w:jc w:val="center"/>
      </w:pPr>
      <w:r>
        <w:rPr>
          <w:rFonts w:ascii="Calibri" w:hAnsi="Calibri"/>
          <w:i/>
          <w:color w:val="444A52"/>
          <w:sz w:val="18"/>
        </w:rPr>
        <w:t>Le canvas à l'ouverture de IA-12_sujet.gh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Un serveur d'outils relié à Rhino et Grasshopper, en service, et la courbe de référence.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Une valeur décimale : la longueur cumulée, en millimètres.</w:t>
      </w:r>
    </w:p>
    <w:p>
      <w:pPr>
        <w:spacing w:before="0" w:after="80"/>
      </w:pPr>
      <w:r>
        <w:rPr>
          <w:rFonts w:ascii="Calibri" w:hAnsi="Calibri"/>
          <w:b w:val="0"/>
          <w:i/>
          <w:sz w:val="21"/>
        </w:rPr>
        <w:t>Branchez votre résultat sur le paramètre REPONSE. La correction compare cette sortie en mode NumericTolerance, avec une tolérance de 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la longueur est juste à 0,1 près et si le travail a été mené sur une copie.</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IA-12 — Faire construire un graphe par un agent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