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/>
      </w:pPr>
      <w:r>
        <w:rPr>
          <w:rFonts w:ascii="Calibri" w:hAnsi="Calibri"/>
          <w:b/>
          <w:color w:val="2E5C8A"/>
          <w:sz w:val="40"/>
        </w:rPr>
        <w:t>MP-03 — Une définition qui réagit</w:t>
      </w:r>
    </w:p>
    <w:p>
      <w:pPr>
        <w:spacing w:after="200"/>
      </w:pPr>
      <w:r>
        <w:rPr>
          <w:rFonts w:ascii="Calibri" w:hAnsi="Calibri"/>
          <w:i/>
          <w:color w:val="444A52"/>
          <w:sz w:val="20"/>
        </w:rPr>
        <w:t>Fiche d'exercice Magpie  ·  Lot A — Découverte des composants natifs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649"/>
        <w:gridCol w:w="4649"/>
      </w:tblGrid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Thématique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MP3 · Chronologie et évènements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Référence au référentiel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REF-091, REF-092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Case Bloom (révisée)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Comprendre × conceptuelle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Niveau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Perfectionnement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Durée cible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8 minutes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Prérequis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MP-02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Mode de validation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— (non notée)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Version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v0.3-260826 — Ind. B — 26/08/2026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Conception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magpie-conception-exercices v2.3</w:t>
            </w:r>
          </w:p>
        </w:tc>
      </w:tr>
    </w:tbl>
    <w:p>
      <w:pPr>
        <w:spacing w:after="0"/>
      </w:pPr>
    </w:p>
    <w:p>
      <w:pPr>
        <w:spacing w:before="280" w:after="120"/>
        <w:pBdr>
          <w:bottom w:val="single" w:sz="8" w:space="3" w:color="2E5C8A"/>
        </w:pBdr>
      </w:pPr>
      <w:r>
        <w:rPr>
          <w:rFonts w:ascii="Calibri" w:hAnsi="Calibri"/>
          <w:b/>
          <w:color w:val="2E5C8A"/>
          <w:sz w:val="28"/>
        </w:rPr>
        <w:t>POURQUOI CE N'EST PAS UN EXERCICE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298"/>
      </w:tblGrid>
      <w:tr>
        <w:tc>
          <w:tcPr>
            <w:tcW w:type="dxa" w:w="9298"/>
            <w:shd w:val="clear" w:fill="FDF3D6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120" w:after="120"/>
            </w:pPr>
            <w:r>
              <w:rPr>
                <w:rFonts w:ascii="Calibri" w:hAnsi="Calibri"/>
                <w:sz w:val="21"/>
              </w:rPr>
              <w:t>Cet item n'est pas un exercice noté. Il porte une connaissance nécessaire, mais qui s'acquiert et se vérifie par une question, non par un montage : la construire dans Grasshopper mesurerait la mémoire, pas la compétence.</w:t>
            </w:r>
          </w:p>
        </w:tc>
      </w:tr>
    </w:tbl>
    <w:p>
      <w:pPr>
        <w:spacing w:after="0"/>
      </w:pPr>
    </w:p>
    <w:p>
      <w:pPr>
        <w:spacing w:before="120" w:after="80"/>
      </w:pPr>
      <w:r>
        <w:rPr>
          <w:rFonts w:ascii="Calibri" w:hAnsi="Calibri"/>
          <w:b w:val="0"/>
          <w:i w:val="0"/>
          <w:sz w:val="21"/>
        </w:rPr>
        <w:t>L'énoncé d'origine demandait de constater un comportement du logiciel plutôt que de produire un résultat. La réponse s'obtenait en sachant, non en construisant.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Énoncé d'origine, conservé pour mémoire</w:t>
      </w:r>
    </w:p>
    <w:p>
      <w:pPr>
        <w:spacing w:before="0" w:after="80"/>
      </w:pPr>
      <w:r>
        <w:rPr>
          <w:rFonts w:ascii="Calibri" w:hAnsi="Calibri"/>
          <w:b w:val="0"/>
          <w:i/>
          <w:sz w:val="21"/>
        </w:rPr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Contexte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On voudrait qu'une définition réagisse à une touche ou à un clic dans la vue.</w:t>
      </w:r>
    </w:p>
    <w:p>
      <w:pPr>
        <w:spacing w:before="280" w:after="120"/>
        <w:pBdr>
          <w:bottom w:val="single" w:sz="8" w:space="3" w:color="2E5C8A"/>
        </w:pBdr>
      </w:pPr>
      <w:r>
        <w:rPr>
          <w:rFonts w:ascii="Calibri" w:hAnsi="Calibri"/>
          <w:b/>
          <w:color w:val="2E5C8A"/>
          <w:sz w:val="28"/>
        </w:rPr>
        <w:t>LA QUESTION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Grasshopper recalcule quand une donnée change. Comment lui faire prendre en compte un évènement clavier ou souris ?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a) C'est impossible, Grasshopper n'écoute rien.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b) En relançant la définition à la main.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c) Par un composant qui expose l'évènement comme une donnée, laquelle déclenche alors le recalcul habituel. ← réponse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d) En écrivant un plugin, il n'y a pas d'autre voie.</w:t>
      </w:r>
    </w:p>
    <w:p>
      <w:pPr>
        <w:spacing w:before="0" w:after="80"/>
      </w:pPr>
      <w:r>
        <w:rPr>
          <w:rFonts w:ascii="Calibri" w:hAnsi="Calibri"/>
          <w:b/>
          <w:i w:val="0"/>
          <w:sz w:val="21"/>
        </w:rPr>
        <w:t>Valeur diagnostique : (a) et (d) sont deux façons de renoncer trop tôt. Le point à faire passer est conceptuel : le modèle de Grasshopper reste le même — une donnée change, l'aval se recalcule. L'évènement n'est pas une exception au modèle, c'est une donnée de plus.</w:t>
      </w:r>
    </w:p>
    <w:p>
      <w:pPr>
        <w:spacing w:before="280" w:after="120"/>
        <w:pBdr>
          <w:bottom w:val="single" w:sz="8" w:space="3" w:color="2E5C8A"/>
        </w:pBdr>
      </w:pPr>
      <w:r>
        <w:rPr>
          <w:rFonts w:ascii="Calibri" w:hAnsi="Calibri"/>
          <w:b/>
          <w:color w:val="2E5C8A"/>
          <w:sz w:val="28"/>
        </w:rPr>
        <w:t>COMMENT L'EMPLOYER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Avant l'exercice qui mobilise cette connaissance, pas après : elle en est un prérequis.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Poser la question à main levée, relever la répartition des réponses, et n'expliquer que si une réponse fausse est majoritaire.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La valeur est dans la mauvaise réponse : elle nomme la représentation à corriger.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Démonstration facultative</w:t>
      </w:r>
    </w:p>
    <w:p>
      <w:pPr>
        <w:spacing w:before="0" w:after="80"/>
      </w:pPr>
      <w:r>
        <w:rPr>
          <w:rFonts w:ascii="Calibri" w:hAnsi="Calibri"/>
          <w:b w:val="0"/>
          <w:i/>
          <w:sz w:val="19"/>
        </w:rPr>
        <w:t>Le fichier MP-03_complet.gh reste disponible comme support de démonstration au vidéoprojecteur. Il n'est pas à faire construire.</w:t>
      </w:r>
    </w:p>
    <w:p>
      <w:pPr>
        <w:spacing w:before="80" w:after="40"/>
        <w:jc w:val="center"/>
      </w:pPr>
      <w:r>
        <w:drawing>
          <wp:inline xmlns:a="http://schemas.openxmlformats.org/drawingml/2006/main" xmlns:pic="http://schemas.openxmlformats.org/drawingml/2006/picture">
            <wp:extent cx="5903999" cy="642935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P-03_canvas_corrige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03999" cy="642935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Calibri" w:hAnsi="Calibri"/>
          <w:i/>
          <w:color w:val="444A52"/>
          <w:sz w:val="18"/>
        </w:rPr>
        <w:t>Le montage de démonstration.</w:t>
      </w:r>
    </w:p>
    <w:sectPr w:rsidR="00FC693F" w:rsidRPr="0006063C" w:rsidSect="00034616">
      <w:footerReference w:type="default" r:id="rId9"/>
      <w:pgSz w:w="11906" w:h="16838"/>
      <w:pgMar w:top="1020" w:right="1304" w:bottom="1020" w:left="130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libri" w:hAnsi="Calibri"/>
        <w:color w:val="444A52"/>
        <w:sz w:val="16"/>
      </w:rPr>
      <w:t>Magpie · MP-03 — Une définition qui réagit · v0.3-260826 Ind. B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