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RH-10 — Ce que l'export STL perd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parfaitement lisse dans Rhino ressort facettée de l'imprimante.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Votre cylindre est parfait dans Rhino, et il sort facetté de l'imprimante. Pourquoi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Le format STL ne connaît que des triangles : la conversion a échantillonné la surface, et la finesse de cet échantillonnage est un réglage.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L'imprimante n'est pas assez précise.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Le fichier a été enregistré en basse résolution.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Il fallait exporter en OBJ.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fait accuser la machine et acheter du matériel qui ne changera rien. (d) est faux pour la même raison — l'OBJ maille aussi. La bonne réponse déplace l'attention vers le seul endroit où l'on peut agir : les réglages de maillage au moment de l'export.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RH-10_complet.gh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0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RH-10 — Ce que l'export STL perd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