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WB-03 — Rhino sans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REF-111, REF-112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application métier doit exploiter la géométrie de Rhino sans que l'utilisateur ouvre Rhino.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voulez faire tourner une définition Grasshopper depuis une application web, sans interface Rhino. Que cherchez-vous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Rhino.Compute, qui expose le moteur de calcul comme un service appelable à distance.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Rhino.Inside, qui charge Rhino dans un autre logiciel hôte.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export en maillage, qui suffit toujours.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Les deux font la même chose.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et (d) confondent deux réponses à deux besoins différents — Rhino.Inside fait cohabiter Rhino avec Revit ou AutoCAD sur le même poste ; Rhino.Compute met le moteur au bout d'un appel réseau. Se tromper de l'un pour l'autre fait partir sur une architecture entière qu'il faudra défaire.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WB-03_complet.gh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WB-03 — Rhino sans Rhino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