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33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3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longueurs : les rangs 0, 3, 6, … 33 du calepinage.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Cull Pattern (Sets &gt; Sequence).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Dans un Panel, saisir le motif True, False, False sur trois lignes.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Panel sur l'entrée Pattern et la liste sur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motif se répète cycliquement sur toute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Décaler le motif d'un cran et commencer par déposer la première lame : on obtient encore 12 lames, mais pas les mêmes. L'effectif seul ne suffit donc pas à valider — c'est pourquoi la réponse porte sur les longueurs conservées.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motif sur une seule ligne : Grasshopper lit un seul élément.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Cull Pattern (motif cyclique) et Cull Index (index explicites).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Cull Pattern, Boolean Toggle,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36 lames de longueurs voisines mais toutes distinctes : un décalage du motif conserve l'effectif de 12 tout en changeant la réponse. C'est pourquoi la validation porte sur les longueurs et non sur le seul comptage.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seul composant fait le travail. À terme, mieux vaut l'absorber dans un exercice de calepinage complet que le maintenir isolé.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 motif pour conserver les deux autres tiers.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le motif par une comparaison numérique.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