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A-26 — Ordre d'évaluation et recalcul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A5 · Comportements implicites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REF-056, 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Deux branches indépendantes du graphe produisent chacune un résultat. Dans quel ordre sont-elles évaluées ? Réponds par QCM et justifie en modifiant un seul slider.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branches indépendantes cohabitent sur un même canvas.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branches indépendantes produisent chacune un résultat. Dans quel ordre sont-elles évaluées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De gauche à droite, selon leur position sur le canvas.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Dans l'ordre où elles ont été créées.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L'ordre entre deux branches indépendantes n'est pas défini ; seules les dépendances imposent un ordre.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Simultanément, sur plusieurs cœurs.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la croyance qui pousse à ranger le canvas pour « corriger » un résultat — un temps perdu considérable. (d) fait espérer un gain de performance qui n'existe pas ici.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A-26_complet.gh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1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1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A-26 — Ordre d'évaluation et recalcul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