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A-28 — Découper et remplacer du texte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un fragment d'une référence structurée et le normaliser.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un fragment d'une référence structurée et le normaliser.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références fournisseur encodent la famille, le code produit et l'essence ; seul le code produit alimente la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références vous sont fournies au format « MEUB-A12-CHENE ». Extrayez le seul code central et livrez-le en minuscules.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6 références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codes en minuscules : a12, b07, …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6 codes sont exacts.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85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8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Text Split avec le séparateur - (tiret).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La sortie est un arbre : chaque référence donne une branche de 3 fragments.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List Item avec l'index 1 pour prendre le fragment central de chaque branche.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Text Case en mode Lower.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Découper par position de caractère plutôt que par séparateur : le montage tient tant que la famille fait quatre lettres, et se rompt à la première référence au format différent.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Text Split produit un arbre et non une liste plate.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Espaces parasites : appliquer Trim avant le découpage.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 Split, Replace Text, Text Case, Trim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Même limite qu'en A-27 : le livrable est une liste de codes en minuscules, que le checker ne sait pas comparer. Validation visuelle.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 matériau par un autre avec Replace Text.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Reconstituer la référence complète après modification.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A-28 — Découper et remplacer du texte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