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A-42 — Balayage et révolution</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A10 · Surfaces et solides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REF-069</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Engendrer une surface par déplacement d'un profil le long d'un guide, et par rotation autour d'un axe.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Appliquer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Débutant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8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A-41</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GeometryTolerance — tolérance 0,5 mm</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6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v0.4-260901 — Ind. B — 26/08/2026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Engendrer une surface par déplacement d'un profil le long d'un guide, et par rotation autour d'un axe.</w:t>
      </w:r>
    </w:p>
    <w:p>
      <w:pPr>
        <w:spacing w:before="200" w:after="60"/>
      </w:pPr>
      <w:r>
        <w:rPr>
          <w:rFonts w:ascii="Calibri" w:hAnsi="Calibri"/>
          <w:b/>
          <w:color w:val="444A52"/>
          <w:sz w:val="22"/>
        </w:rPr>
        <w:t>Contexte</w:t>
      </w:r>
    </w:p>
    <w:p>
      <w:pPr>
        <w:spacing w:before="0" w:after="80"/>
      </w:pPr>
      <w:r>
        <w:rPr>
          <w:rFonts w:ascii="Calibri" w:hAnsi="Calibri"/>
          <w:b w:val="0"/>
          <w:i w:val="0"/>
          <w:sz w:val="21"/>
        </w:rPr>
        <w:t>Une main courante tubulaire suit un limon ; un fût de colonne est engendré par rotation de son profil.</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Le profil circulaire et son guide vous sont fournis, ainsi qu'un profil plan. Engendrez le tube en promenant le profil circulaire le long du guide, puis le fût en faisant tourner le profil plan autour de l'axe vertical.</w:t>
            </w:r>
          </w:p>
        </w:tc>
      </w:tr>
    </w:tbl>
    <w:p>
      <w:pPr>
        <w:spacing w:after="0"/>
      </w:pPr>
    </w:p>
    <w:p>
      <w:pPr>
        <w:spacing w:before="80" w:after="40"/>
        <w:jc w:val="center"/>
      </w:pPr>
      <w:r>
        <w:drawing>
          <wp:inline xmlns:a="http://schemas.openxmlformats.org/drawingml/2006/main" xmlns:pic="http://schemas.openxmlformats.org/drawingml/2006/picture">
            <wp:extent cx="5903999" cy="3335653"/>
            <wp:docPr id="1" name="Picture 1"/>
            <wp:cNvGraphicFramePr>
              <a:graphicFrameLocks noChangeAspect="1"/>
            </wp:cNvGraphicFramePr>
            <a:graphic>
              <a:graphicData uri="http://schemas.openxmlformats.org/drawingml/2006/picture">
                <pic:pic>
                  <pic:nvPicPr>
                    <pic:cNvPr id="0" name="A-42_canvas_sujet.png"/>
                    <pic:cNvPicPr/>
                  </pic:nvPicPr>
                  <pic:blipFill>
                    <a:blip r:embed="rId10"/>
                    <a:stretch>
                      <a:fillRect/>
                    </a:stretch>
                  </pic:blipFill>
                  <pic:spPr>
                    <a:xfrm>
                      <a:off x="0" y="0"/>
                      <a:ext cx="5903999" cy="3335653"/>
                    </a:xfrm>
                    <a:prstGeom prst="rect"/>
                  </pic:spPr>
                </pic:pic>
              </a:graphicData>
            </a:graphic>
          </wp:inline>
        </w:drawing>
      </w:r>
    </w:p>
    <w:p>
      <w:pPr>
        <w:spacing w:after="160"/>
        <w:jc w:val="center"/>
      </w:pPr>
      <w:r>
        <w:rPr>
          <w:rFonts w:ascii="Calibri" w:hAnsi="Calibri"/>
          <w:i/>
          <w:color w:val="444A52"/>
          <w:sz w:val="18"/>
        </w:rPr>
        <w:t>Le canvas à l'ouverture de A-42_sujet.gh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Un profil circulaire, une courbe guide et un profil plan internalisés.</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Un tube et une surface de révolution.</w:t>
      </w:r>
    </w:p>
    <w:p>
      <w:pPr>
        <w:spacing w:before="0" w:after="80"/>
      </w:pPr>
      <w:r>
        <w:rPr>
          <w:rFonts w:ascii="Calibri" w:hAnsi="Calibri"/>
          <w:b w:val="0"/>
          <w:i/>
          <w:sz w:val="21"/>
        </w:rPr>
        <w:t>Branchez votre résultat sur le paramètre REPONSE. La correction compare cette sortie en mode GeometryTolerance, avec une tolérance de 0,5 mm.</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par surface correcte.</w:t>
      </w:r>
    </w:p>
    <w:p>
      <w:pPr>
        <w:spacing w:before="200" w:after="80"/>
      </w:pPr>
      <w:r>
        <w:rPr>
          <w:rFonts w:ascii="Calibri" w:hAnsi="Calibri"/>
          <w:b w:val="0"/>
          <w:i/>
          <w:sz w:val="21"/>
        </w:rPr>
        <w:t>Le corrigé fait l'objet d'une fiche distincte, remise après validation ou en fin de séance.</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A-42 — Balayage et révolution · v0.4-260901 Ind. 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