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A-49 — Centre de gravité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le centre de gravité de pièces et s'en servir comme point d'accroche.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le centre de gravité de pièces et s'en servir comme point d'accroche.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d'un lot reçoit son repère au centre, à l'endroit où l'étiquette sera collée et où l'élingue sera accrochée.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vous sont fournies. Placez au centre de gravité de chacune une étiquette portant son numéro.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étiquettes numérotées, placées aux centres de gravité.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étiquettes sont bien placées.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8314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8314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Volume sur la liste des solides : la sortie C donne les centroïdes.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Series pour produire les numéros de 1 à 6.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Formater les numéros avec Format si un affichage sur deux chiffres est souhaité.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Poser Text Tag 3D avec les centroïdes en L et les textes en 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centre de la boîte englobante plutôt que le centre de gravité : les deux coïncident sur une pièce symétrique et divergent sur une pièce en L — et c'est précisément là que l'élingue compte.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Area donne le centroïde surfacique, Volume le centroïde volumique : ils diffèrent.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Text Tag 3D n'apparaît qu'en aperçu, il ne se cuit qu'avec un Bake explicite.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Area, Volume, Point, Text Tag 3D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Trier les pièces par masse en pondérant par la densité.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Placer un repère orienté au centroïde.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A-49 — Centre de gravité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