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8168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16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8 — le nombre minimal de panneaux.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d'abord ce qu'on minimise et sous quelle contrainte.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Exprimer la contrainte DANS la fonction évaluée, non à côté.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la recherche.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l'optimum par le calcul direct : 18 600 ÷ 2 400 arrondi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Conclure : quand le calcul direct suffit, le moteur de recherche est un luxe — savoir le reconnaître fait partie de la compétence.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le moteur chercher sans contrainte et retenir son meilleur résultat. Sans la contrainte des 2 400 mm exprimée dans la fonction évaluée, l'optimum est un panneau unique de 18 600 mm : mathématiquement parfait, physiquement absurde. Une recherche de forme ne vaut que ce que vaut ce qu'on lui demande d'optimiser.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Contrainte laissée hors de la fonction 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un moteur de recherche là où une division suffit, et ne pas s'en apercevoir.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d'optimisation,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18 600 divisé par 2 400 vaut 7,75 : la réponse est 8, et l'exercice ne se résout pas en arrondissant au plus proche. C'est aussi un cas où le moteur de recherche est un détour — le calcul direct suffit, et c'est un enseignement en soi.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recherche demande un moteur d'optimisation. Ce qui est validé est le nombre de panneaux ; l'exercice vaut surtout pour la formulation du problème, que le formateur relit.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panneaux tous égaux et refaire la recherche.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Introduire un coût par joint et voir l'optimum se déplacer.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