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96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9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Mailler la surface en fixant l'écart maximal, non la densité.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 maillage est fermé et sans face dégénérée.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les jonctions si le maillage sort en morceaux.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poids du fichier exporté : c'est la contrepartie directe de la finesse.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Augmenter la densité jusqu'à ce que « ça ait l'air bien ». L'écart maximal est un réglage explicite : à l'œil, on produit soit un maillage grossier qui passe pour lisse à l'écran, soit un maillage inutilement lourd.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la densité au lieu de l'écart : le résultat n'est plus contrôlable.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Maillage en plusieurs morceaux non joints : il paraît fermé et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Mesh Brep, Mesh Join, Face Count,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présente une zone de forte courbure et une zone plane : un maillage à densité uniforme y est toujours mauvais quelque part, ce qui oblige à passer par le critère d'écart.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corrigé maille avec les réglages PAR DÉFAUT, et rend 1 024 faces. Il ne pilote pas l'écart maximal : ce réglage se pose dans la boîte de dialogue de maillage et ne se transporte pas dans le fichier. Le corrigé sert donc d'ordre de grandeur ; c'est au formateur de vérifier que l'apprenant a bien raisonné en écart et non en densité.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Doubler l'écart admis et mesurer le gain en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Lisser le maillage et vérifier ce que le lissage fait à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