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GP-03 — Un maillage qu'on peut imprimer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GP3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REF-074, REF-075, REF-076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Produire un maillage à partir d'une surface, en maîtriser la finesse, et le rendre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maillage à partir d'une surface, en maîtriser la finesse, et le rendre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de forme libre part en impression : le trancheur n'accepte qu'un maillage fermé, et la finesse décide de la qualité comme du poids du fichier.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surface fournie doit devenir un maillage fermé dont l'écart à la surface d'origine ne dépasse nulle part 0,2 mm. Donnez le nombre de faces du maillage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contenant la surface fermée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1 024 faces avec les réglages par défaut du mailleur — la correction accepte 5 % autour de cette valeur.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l'écart maximal est respecté et le maillage fermé.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GP-03 — Un maillage qu'on peut imprimer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