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GP-04 — SubD ou NURBS ?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GP3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REF-077, REF-078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poignée de meuble doit être dessinée en forme libre, puis usinée.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devez dessiner une poignée de forme libre, qui sera ensuite usinée à partir d'un modèle exact. Par quoi commencez-vous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Directement en NURBS, puisque c'est ce qu'il faut à la fin.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En maillage, plus simple à déformer.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Peu importe, les trois sont équivalents.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En SubD pour la recherche de forme, converti en NURBS pour l'usinage.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le réflexe de qui connaît la contrainte de sortie et pas les outils de forme — on y passe un temps considérable à recaler des points de contrôle. (b) donne une forme facile à modeler et impossible à usiner proprement. La bonne réponse tient à ce que SubD et NURBS ne s'opposent pas : l'un sert la conception, l'autre la fabrication, et la conversion est prévue pour.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GP-04_complet.gh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GP-04 — SubD ou NURBS ?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