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GP-05 — La chaîne de cotes d'une façade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GP3 · Plan paramétrique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REF-065, REF-066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Produire une cotation en chaîne qui se recalcule avec le modèle, en distinguant ce qui se mesure d'un voisin à l'autre de ce qui se repère depuis une origine unique.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Produire une cotation en chaîne qui se recalcule avec le modèle, en distinguant ce qui se mesure d'un voisin à l'autre de ce qui se repère depuis une origine unique.</w:t>
      </w:r>
    </w:p>
    <w:p>
      <w:pPr>
        <w:spacing w:before="200" w:after="60"/>
      </w:pPr>
      <w:r>
        <w:rPr>
          <w:rFonts w:ascii="Calibri" w:hAnsi="Calibri"/>
          <w:b/>
          <w:color w:val="444A52"/>
          <w:sz w:val="22"/>
        </w:rPr>
        <w:t>Contexte</w:t>
      </w:r>
    </w:p>
    <w:p>
      <w:pPr>
        <w:spacing w:before="0" w:after="80"/>
      </w:pPr>
      <w:r>
        <w:rPr>
          <w:rFonts w:ascii="Calibri" w:hAnsi="Calibri"/>
          <w:b w:val="0"/>
          <w:i w:val="0"/>
          <w:sz w:val="21"/>
        </w:rPr>
        <w:t>Le poseur implante les percements d'une façade au décamètre, depuis un unique point de référence : c'est la seule manière de ne pas cumuler les erreurs de report.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bureau d'études fournit les entraxes des sept percements, mesurés chacun depuis le précédent, et la distance du premier au point de référence. Donnez la cote du dernier percement telle qu'elle doit figurer au plan de pose, en millimètres.</w:t>
            </w:r>
          </w:p>
        </w:tc>
      </w:tr>
    </w:tbl>
    <w:p>
      <w:pPr>
        <w:spacing w:after="0"/>
      </w:pPr>
    </w:p>
    <w:p>
      <w:pPr>
        <w:spacing w:before="80" w:after="40"/>
        <w:jc w:val="center"/>
      </w:pPr>
      <w:r>
        <w:drawing>
          <wp:inline xmlns:a="http://schemas.openxmlformats.org/drawingml/2006/main" xmlns:pic="http://schemas.openxmlformats.org/drawingml/2006/picture">
            <wp:extent cx="5903999" cy="2799927"/>
            <wp:docPr id="1" name="Picture 1"/>
            <wp:cNvGraphicFramePr>
              <a:graphicFrameLocks noChangeAspect="1"/>
            </wp:cNvGraphicFramePr>
            <a:graphic>
              <a:graphicData uri="http://schemas.openxmlformats.org/drawingml/2006/picture">
                <pic:pic>
                  <pic:nvPicPr>
                    <pic:cNvPr id="0" name="GP-05_canvas_sujet.png"/>
                    <pic:cNvPicPr/>
                  </pic:nvPicPr>
                  <pic:blipFill>
                    <a:blip r:embed="rId10"/>
                    <a:stretch>
                      <a:fillRect/>
                    </a:stretch>
                  </pic:blipFill>
                  <pic:spPr>
                    <a:xfrm>
                      <a:off x="0" y="0"/>
                      <a:ext cx="5903999" cy="2799927"/>
                    </a:xfrm>
                    <a:prstGeom prst="rect"/>
                  </pic:spPr>
                </pic:pic>
              </a:graphicData>
            </a:graphic>
          </wp:inline>
        </w:drawing>
      </w:r>
    </w:p>
    <w:p>
      <w:pPr>
        <w:spacing w:after="160"/>
        <w:jc w:val="center"/>
      </w:pPr>
      <w:r>
        <w:rPr>
          <w:rFonts w:ascii="Calibri" w:hAnsi="Calibri"/>
          <w:i/>
          <w:color w:val="444A52"/>
          <w:sz w:val="18"/>
        </w:rPr>
        <w:t>Le canvas à l'ouverture de GP-05_sujet.gh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distance du premier percement au point de référence, et les sept entraxes successifs, en millimètres.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8 955 mm — la position du dernier percement, comptée depuis le point de référence.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cote finale est juste.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GP-05 — La chaîne de cotes d'une façade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