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GP-08 — Ce que coûte une subdivision de plus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GP4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REF-077, REF-078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Anticiper la croissance d'une surface de subdivision, et choisir le niveau d'affichage en connaissance de cause.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Anticiper la croissance d'une surface de subdivision, et choisir le niveau d'affichage en connaissance de cause.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cage de subdivision est légère et se manipule bien. C'est l'affichage lissé qui fait ramer la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cage compte 26 faces. Chaque passe de subdivision remplace chaque face par quatre. Donnez le nombre de faces après trois passes.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de la cage et le nombre de passes.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1 664 faces après trois passes.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faces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GP-08_complet.gh,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96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9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Comprendre que la croissance est géométrique.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Élever quatre à la puissance du nombre de passes.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Multiplier par le nombre de faces de la cage.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Multiplier une seule fois par quatre (104), ou multiplier par trois (78). La croissance est GÉOMÉTRIQUE : chaque passe quadruple ce que la précédente a produit. C'est pour cela qu'une passe de plus, décidée sans y penser, fait passer un modèle fluide à un modèle inutilisable.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Multiplier par le nombre de passes.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N'appliquer le facteur qu'une fois.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26 faces est la taille d'une cage de mobilier. Les trois réponses possibles — 78, 104 et 1 664 — sont séparées d'un ordre de grandeur, ce qui rend chaque erreur immédiatement lisible.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le nombre de passes qui dépasse cent mille faces.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au coût d'affichage d'un maillage équivalent.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GP-08_fiche_sujet.docx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GP-08 — Ce que coûte une subdivision de plus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