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GP-08 — Ce que coûte une subdivision de plus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GP4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REF-077, REF-078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Anticiper la croissance d'une surface de subdivision, et choisir le niveau d'affichage en connaissance de cause.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Anticiper la croissance d'une surface de subdivision, et choisir le niveau d'affichage en connaissance de cause.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cage de subdivision est légère et se manipule bien. C'est l'affichage lissé qui fait ramer la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cage compte 26 faces. Chaque passe de subdivision remplace chaque face par quatre. Donnez le nombre de faces après trois passes.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de la cage et le nombre de passes.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1 664 faces après trois passes.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faces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GP-08 — Ce que coûte une subdivision de plus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