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IA-02 — Le contexte technique manquant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IA1 · Formuler et cadrer une demande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REF-118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Comprendre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assistant produit un code qui refuse de se compiler dans Rhino 8 alors qu'il semble correct.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Vous demandez un composant Grasshopper à un assistant, sans autre précision. Le code obtenu ne compile pas. Quelle information manquait le plus probablement ?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a) La version de Rhino et la bibliothèque visée. ← réponse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b) Le nom que vous vouliez donner au composant.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c) La couleur de l'icône.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d) Rien : les assistants ne savent pas écrire de composant.</w:t>
      </w:r>
    </w:p>
    <w:p>
      <w:pPr>
        <w:spacing w:before="0" w:after="80"/>
      </w:pPr>
      <w:r>
        <w:rPr>
          <w:rFonts w:ascii="Calibri" w:hAnsi="Calibri"/>
          <w:b/>
          <w:i w:val="0"/>
          <w:sz w:val="21"/>
        </w:rPr>
        <w:t>Valeur diagnostique : (d) est la conclusion qu'en tire l'apprenant découragé, et elle est fausse — le modèle a produit du code valide pour une autre version de l'API. Nommer la version déplace le problème de « l'outil ne marche pas » à « ma demande était incomplète », qui est la seule formulation sur laquelle on peut agir.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Démonstration facultative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Le fichier IA-02_complet.gh reste disponible comme support de démonstration au vidéoprojecteur. Il n'est pas à faire construire.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51897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02_canvas_corri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189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montage de démonstration.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IA-02 — Le contexte technique manquant · v0.4-260901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