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IA-06 — Transposer sans changer le résultat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REF-122, REF-123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Porter un composant vers un autre langage et établir l'équivalence des deux versions.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Porter un composant vers un autre langage et établir l'équivalence des deux versions.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ancienne repose sur un composant VB.NET que plus personne ne maintient ; il faut le porter sans changer un seul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existant produit une liste de valeurs. Faites-le porter vers un autre langage, puis établissez que les deux versions produisent exactement la même liste, dans le même ordre.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d'origine, en place et fonctionnel, et le jeu de données qu'il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sommes cumulées, telle que la produit le composant d'origine.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deux listes sont identiques élément par élément.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IA-06 — Transposer sans changer le résultat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