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IA-11 — Un cahier des charges qui devient des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REF-133, REF-134, 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de prescription les valeurs exploitables par une définition, et les contrôler.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de prescription les valeurs exploitables par une définition, et les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article de CCTP décrit un garde-corps en toutes lettres ; la définition attend des nombres.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L'article de CCTP vous est fourni. Faites-en extraire les valeurs dimensionnelles par un modèle de langage, puis donnez le nombre de montants nécessaires pour la longueur prescrite.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0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texte de l'article, internalisé dans la définition, et l'accès à un modèle de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montants, entracte maximal respecté.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montants est juste et si chaque valeur extraite est justifiée par sa phrase source.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IA-11 — Un cahier des charges qui devient des paramètres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