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IA-13 — Ce qui quitte le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REF-140, REF-141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projet est couvert par un accord de confidentialité et l'équipe emploie un assistant en ligne.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collez dans un assistant en ligne un extrait de définition pour le faire corriger. Que faut-il considérer comme transmis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Rien : le code n'est pas une donnée de projet.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code seul, sans les valeurs qu'il contient.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Tout ce qui est collé, valeurs internalisées, noms de calques et commentaires compris.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Rien tant qu'on ne coche pas une case de partage.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la représentation la plus répandue et la plus risquée — les cotes, les repères et les noms de projet voyagent avec le code, souvent sans qu'on y pense. Poser la question avant la première utilisation coûte quelques minutes ; la poser après une fuite ne sert plus à rien.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1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IA-13 — Ce qui quitte le poste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