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IA-18 — Ce qu'une image générée ne vous donne pas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IA6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client a apporté une image générée qui lui plaît beaucoup, et demande « le même » en trois dimensions.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client apporte une image générée et demande le modèle correspondant. Qu'en tirez-vous réellement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Une géométrie, qu'un outil de reconstruction saura extraire.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Rien d'exploitable : mieux vaut repartir d'un croquis.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Une référence de style, à condition d'en avoir les droits.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Une intention de forme et de matière, à traduire en cotes et en constructibilité.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l'erreur coûteuse — les outils de reconstruction rendent une surface, jamais des cotes, et une image générée n'a aucune raison d'être cohérente d'une vue à l'autre. (b) jette ce qui a de la valeur : l'image dit une intention, et c'est beaucoup. (c) est un vrai sujet, mais il vient après. Ce que l'image ne porte pas est ce qui fait le projet : dimensions, épaisseurs, assemblages, et la question de savoir si cela tient debout.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IA-18_complet.gh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8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IA-18 — Ce qu'une image générée ne vous donne pas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