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Partir du composant modifié.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Suivre les liaisons vers l'aval, de proche en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ce qui a été atteint, sans compter deux fois ce que deux branches atteignent.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13, tout le graphe moins le curseur. Grasshopper ne recalcule que ce qui DÉPEND de ce qui a changé : Hauteur, Essence et Prix unitaire ne dépendent pas de Largeur, et restent intacts. Croire que tout repasse conduit à optimiser au mauvais endroit.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tout le graphe.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composant atteint par deux chemins.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Remonter vers l'amont : ce qui alimente un composant ne se recalcule pas parce qu'il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composants, dont trois entrées indépendantes et un graphe à deux branches qui se rejoignent : suivre les dépendances à la main est faisable mais fastidieux, et c'est exactement le genre de comptage qu'on préfère supposer plutôt que faire.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composants n'est pas le compte des secondes : un seul composant lourd pèse plus que neuf légers. C'est le profileur qui le dit, et MP-02 qui l'aborde.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compte pour le curseur Essence.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l'entrée dont la modification recalcule le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