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QT-05 — Le fichier que le fournisseur va lire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QT3 · Export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REF-086, REF-087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fichier d'échange dont la structure est celle qu'attend le destinataire, en-tête comprise, et savoir combien de lignes il doit contenir avant de l'ouvrir.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fichier d'échange dont la structure est celle qu'attend le destinataire, en-tête comprise, et savoir combien de lignes il doit contenir avant de l'ouvrir.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commande part en CSV vers le fournisseur, qui l'importe automatiquement. Un fichier mal structuré n'est pas rejeté : il est importé de travers.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Vous exportez la commande regroupée de l'exercice précédent au format CSV, avec une ligne d'en-tête nommant les colonnes. Donnez le nombre de lignes que le fichier doit contenir.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débit de vingt-quatre lignes, et la commande regroupée qui en découle.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9 — huit références, plus la ligne d'en-tête.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lignes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QT-05_complet.gh,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Reprendre la commande regroupée par référence.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Compter les références distinctes.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Ajouter la ligne d'en-tête.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Écrire le fichier, et le rouvrir pour vérifier le compte.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Exporter les vingt-quatre lignes du débit (25 avec l'en-tête) ou oublier l'en-tête (8). Le premier fait commander huit références en double ; le second fait lire la première référence comme un nom de colonne, et elle disparaît de la commande.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l'en-tête.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Exporter le débit au lieu de la commande.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Employer la virgule comme séparateur alors que les quantités peuvent être décimales.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Create Set, List Length, Addition, Concatenate,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compte attendu — 9 — ne ressemble ni au nombre de lignes du débit (24) ni au nombre de références (8) : les trois erreurs possibles donnent trois valeurs distinctes, donc lisibles.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compte des lignes ne dit rien du séparateur ni de l'encodage, qui font échouer autant d'imports. La fiche les signale ; l'exercice ne les valide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colonne d'unité et vérifier que le compte des lignes ne change pas.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Exporter la même commande en XLSX et comparer ce que chaque format garantit.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QT-05 — Le fichier que le fournisseur va lire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