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QT-05 — Le fichier que le fournisseur va lire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QT3 · Export de données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REF-086, REF-087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Produire un fichier d'échange dont la structure est celle qu'attend le destinataire, en-tête comprise, et savoir combien de lignes il doit contenir avant de l'ouvrir.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QT-04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Produire un fichier d'échange dont la structure est celle qu'attend le destinataire, en-tête comprise, et savoir combien de lignes il doit contenir avant de l'ouvrir.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commande part en CSV vers le fournisseur, qui l'importe automatiquement. Un fichier mal structuré n'est pas rejeté : il est importé de travers.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Vous exportez la commande regroupée de l'exercice précédent au format CSV, avec une ligne d'en-tête nommant les colonnes. Donnez le nombre de lignes que le fichier doit contenir.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T-05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QT-05_sujet.gh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débit de vingt-quatre lignes, et la commande regroupée qui en découle.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9 — huit références, plus la ligne d'en-tête.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nombre de lignes est juste.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QT-05 — Le fichier que le fournisseur va lire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