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RH-17 — Le volume de deux blocs qui se recouvrent</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RH2 · Modélisation Rhino</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REF-012</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Calculer le volume d'une réunion de solides sans compter deux fois la matière commune.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20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RH-05</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0.01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v0.4-260901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Calculer le volume d'une réunion de solides sans compter deux fois la matière commune.</w:t>
      </w:r>
    </w:p>
    <w:p>
      <w:pPr>
        <w:spacing w:before="200" w:after="60"/>
      </w:pPr>
      <w:r>
        <w:rPr>
          <w:rFonts w:ascii="Calibri" w:hAnsi="Calibri"/>
          <w:b/>
          <w:color w:val="444A52"/>
          <w:sz w:val="22"/>
        </w:rPr>
        <w:t>Contexte</w:t>
      </w:r>
    </w:p>
    <w:p>
      <w:pPr>
        <w:spacing w:before="0" w:after="80"/>
      </w:pPr>
      <w:r>
        <w:rPr>
          <w:rFonts w:ascii="Calibri" w:hAnsi="Calibri"/>
          <w:b w:val="0"/>
          <w:i w:val="0"/>
          <w:sz w:val="21"/>
        </w:rPr>
        <w:t>Deux massifs de béton se recoupent en angle. On commande le béton au volume.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 premier massif mesure 400 × 300 × 200 mm, le second 250 × 350 × 180 mm, et leur recouvrement 150 × 200 × 180 mm. Donnez le volume de béton, en décimètres cubes.</w:t>
            </w:r>
          </w:p>
        </w:tc>
      </w:tr>
    </w:tbl>
    <w:p>
      <w:pPr>
        <w:spacing w:after="0"/>
      </w:pPr>
    </w:p>
    <w:p>
      <w:pPr>
        <w:spacing w:before="80" w:after="40"/>
        <w:jc w:val="center"/>
      </w:pPr>
      <w:r>
        <w:drawing>
          <wp:inline xmlns:a="http://schemas.openxmlformats.org/drawingml/2006/main" xmlns:pic="http://schemas.openxmlformats.org/drawingml/2006/picture">
            <wp:extent cx="5903999" cy="2704871"/>
            <wp:docPr id="1" name="Picture 1"/>
            <wp:cNvGraphicFramePr>
              <a:graphicFrameLocks noChangeAspect="1"/>
            </wp:cNvGraphicFramePr>
            <a:graphic>
              <a:graphicData uri="http://schemas.openxmlformats.org/drawingml/2006/picture">
                <pic:pic>
                  <pic:nvPicPr>
                    <pic:cNvPr id="0" name="RH-17_canvas_sujet.png"/>
                    <pic:cNvPicPr/>
                  </pic:nvPicPr>
                  <pic:blipFill>
                    <a:blip r:embed="rId10"/>
                    <a:stretch>
                      <a:fillRect/>
                    </a:stretch>
                  </pic:blipFill>
                  <pic:spPr>
                    <a:xfrm>
                      <a:off x="0" y="0"/>
                      <a:ext cx="5903999" cy="2704871"/>
                    </a:xfrm>
                    <a:prstGeom prst="rect"/>
                  </pic:spPr>
                </pic:pic>
              </a:graphicData>
            </a:graphic>
          </wp:inline>
        </w:drawing>
      </w:r>
    </w:p>
    <w:p>
      <w:pPr>
        <w:spacing w:after="160"/>
        <w:jc w:val="center"/>
      </w:pPr>
      <w:r>
        <w:rPr>
          <w:rFonts w:ascii="Calibri" w:hAnsi="Calibri"/>
          <w:i/>
          <w:color w:val="444A52"/>
          <w:sz w:val="18"/>
        </w:rPr>
        <w:t>Le canvas à l'ouverture de RH-17_sujet.gh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dimensions des deux massifs et celles de leur recouvrement.</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34,35 dm³ — la réunion des deux massifs.</w:t>
      </w:r>
    </w:p>
    <w:p>
      <w:pPr>
        <w:spacing w:before="0" w:after="80"/>
      </w:pPr>
      <w:r>
        <w:rPr>
          <w:rFonts w:ascii="Calibri" w:hAnsi="Calibri"/>
          <w:b w:val="0"/>
          <w:i/>
          <w:sz w:val="21"/>
        </w:rPr>
        <w:t>Branchez votre résultat sur le paramètre REPONSE. La correction compare cette sortie en mode NumericTolerance, avec une tolérance de 0.01.</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volume de la réunion est juste.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RH-17_complet.gh,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5128789"/>
            <wp:docPr id="2" name="Picture 2"/>
            <wp:cNvGraphicFramePr>
              <a:graphicFrameLocks noChangeAspect="1"/>
            </wp:cNvGraphicFramePr>
            <a:graphic>
              <a:graphicData uri="http://schemas.openxmlformats.org/drawingml/2006/picture">
                <pic:pic>
                  <pic:nvPicPr>
                    <pic:cNvPr id="0" name="RH-17_canvas_corrige.png"/>
                    <pic:cNvPicPr/>
                  </pic:nvPicPr>
                  <pic:blipFill>
                    <a:blip r:embed="rId11"/>
                    <a:stretch>
                      <a:fillRect/>
                    </a:stretch>
                  </pic:blipFill>
                  <pic:spPr>
                    <a:xfrm>
                      <a:off x="0" y="0"/>
                      <a:ext cx="5903999" cy="5128789"/>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Calculer chaque volume.</w:t>
      </w:r>
    </w:p>
    <w:p>
      <w:pPr>
        <w:spacing w:after="100"/>
        <w:ind w:left="340"/>
      </w:pPr>
      <w:r>
        <w:rPr>
          <w:rFonts w:ascii="Calibri" w:hAnsi="Calibri"/>
          <w:b/>
          <w:color w:val="2E5C8A"/>
          <w:sz w:val="21"/>
        </w:rPr>
        <w:t xml:space="preserve">Étape 2.  </w:t>
      </w:r>
      <w:r>
        <w:rPr>
          <w:rFonts w:ascii="Calibri" w:hAnsi="Calibri"/>
          <w:sz w:val="21"/>
        </w:rPr>
        <w:t>Additionner les deux massifs.</w:t>
      </w:r>
    </w:p>
    <w:p>
      <w:pPr>
        <w:spacing w:after="100"/>
        <w:ind w:left="340"/>
      </w:pPr>
      <w:r>
        <w:rPr>
          <w:rFonts w:ascii="Calibri" w:hAnsi="Calibri"/>
          <w:b/>
          <w:color w:val="2E5C8A"/>
          <w:sz w:val="21"/>
        </w:rPr>
        <w:t xml:space="preserve">Étape 3.  </w:t>
      </w:r>
      <w:r>
        <w:rPr>
          <w:rFonts w:ascii="Calibri" w:hAnsi="Calibri"/>
          <w:sz w:val="21"/>
        </w:rPr>
        <w:t>Retrancher une fois le recouvrement.</w:t>
      </w:r>
    </w:p>
    <w:p>
      <w:pPr>
        <w:spacing w:after="100"/>
        <w:ind w:left="340"/>
      </w:pPr>
      <w:r>
        <w:rPr>
          <w:rFonts w:ascii="Calibri" w:hAnsi="Calibri"/>
          <w:b/>
          <w:color w:val="2E5C8A"/>
          <w:sz w:val="21"/>
        </w:rPr>
        <w:t xml:space="preserve">Étape 4.  </w:t>
      </w:r>
      <w:r>
        <w:rPr>
          <w:rFonts w:ascii="Calibri" w:hAnsi="Calibri"/>
          <w:sz w:val="21"/>
        </w:rPr>
        <w:t>Convertir en décimètres cubes.</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Additionner les deux volumes : 39,75 dm³. La zone commune est alors comptée deux fois — 5,4 dm³ de béton commandés pour rien, et l'erreur se répète à chaque massif de la série.</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Additionner sans retrancher.</w:t>
      </w:r>
    </w:p>
    <w:p>
      <w:pPr>
        <w:spacing w:after="60"/>
        <w:ind w:left="340"/>
      </w:pPr>
      <w:r>
        <w:rPr>
          <w:rFonts w:ascii="Calibri" w:hAnsi="Calibri"/>
          <w:sz w:val="21"/>
        </w:rPr>
        <w:t>•  Retrancher deux fois le recouvrement.</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Multiplication, Addition, Subtraction, Division,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Le recouvrement représente 14 % de la réunion : assez pour que l'écart se voie sur une commande, assez peu pour qu'on l'oublie. Les trois volumes sont donnés, de sorte que l'exercice porte sur le raisonnement et non sur la construction géométrique.</w:t>
      </w:r>
    </w:p>
    <w:p>
      <w:pPr>
        <w:spacing w:before="200" w:after="60"/>
      </w:pPr>
      <w:r>
        <w:rPr>
          <w:rFonts w:ascii="Calibri" w:hAnsi="Calibri"/>
          <w:b/>
          <w:color w:val="444A52"/>
          <w:sz w:val="22"/>
        </w:rPr>
        <w:t>Pour aller plus loin</w:t>
      </w:r>
    </w:p>
    <w:p>
      <w:pPr>
        <w:spacing w:after="60"/>
        <w:ind w:left="340"/>
      </w:pPr>
      <w:r>
        <w:rPr>
          <w:rFonts w:ascii="Calibri" w:hAnsi="Calibri"/>
          <w:sz w:val="21"/>
        </w:rPr>
        <w:t>•  Traiter trois massifs dont deux recouvrements.</w:t>
      </w:r>
    </w:p>
    <w:p>
      <w:pPr>
        <w:spacing w:after="60"/>
        <w:ind w:left="340"/>
      </w:pPr>
      <w:r>
        <w:rPr>
          <w:rFonts w:ascii="Calibri" w:hAnsi="Calibri"/>
          <w:sz w:val="21"/>
        </w:rPr>
        <w:t>•  Donner le volume de la seule zone commune.</w:t>
      </w:r>
    </w:p>
    <w:p>
      <w:pPr>
        <w:spacing w:before="200" w:after="60"/>
      </w:pPr>
      <w:r>
        <w:rPr>
          <w:rFonts w:ascii="Calibri" w:hAnsi="Calibri"/>
          <w:b/>
          <w:color w:val="444A52"/>
          <w:sz w:val="22"/>
        </w:rPr>
        <w:t>Fichiers de cet exercice</w:t>
      </w:r>
    </w:p>
    <w:p>
      <w:pPr>
        <w:spacing w:after="60"/>
        <w:ind w:left="340"/>
      </w:pPr>
      <w:r>
        <w:rPr>
          <w:rFonts w:ascii="Calibri" w:hAnsi="Calibri"/>
          <w:sz w:val="21"/>
        </w:rPr>
        <w:t>•  RH-17_sujet.gh — énoncé et données de départ, sans le corrigé</w:t>
      </w:r>
    </w:p>
    <w:p>
      <w:pPr>
        <w:spacing w:after="60"/>
        <w:ind w:left="340"/>
      </w:pPr>
      <w:r>
        <w:rPr>
          <w:rFonts w:ascii="Calibri" w:hAnsi="Calibri"/>
          <w:sz w:val="21"/>
        </w:rPr>
        <w:t>•  RH-17_complet.gh — énoncé et corrigé, ce dernier commandé par l'interrupteur</w:t>
      </w:r>
    </w:p>
    <w:p>
      <w:pPr>
        <w:spacing w:after="60"/>
        <w:ind w:left="340"/>
      </w:pPr>
      <w:r>
        <w:rPr>
          <w:rFonts w:ascii="Calibri" w:hAnsi="Calibri"/>
          <w:sz w:val="21"/>
        </w:rPr>
        <w:t>•  RH-17.json — descripteur pour le plugin Magpie</w:t>
      </w:r>
    </w:p>
    <w:p>
      <w:pPr>
        <w:spacing w:after="60"/>
        <w:ind w:left="340"/>
      </w:pPr>
      <w:r>
        <w:rPr>
          <w:rFonts w:ascii="Calibri" w:hAnsi="Calibri"/>
          <w:sz w:val="21"/>
        </w:rPr>
        <w:t>•  RH-17_fiche.docx — la présente fiche</w:t>
      </w:r>
    </w:p>
    <w:p>
      <w:pPr>
        <w:spacing w:after="60"/>
        <w:ind w:left="340"/>
      </w:pPr>
      <w:r>
        <w:rPr>
          <w:rFonts w:ascii="Calibri" w:hAnsi="Calibri"/>
          <w:sz w:val="21"/>
        </w:rPr>
        <w:t>•  RH-17_fiche_sujet.docx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RH-17 — Le volume de deux blocs qui se recouvrent · v0.4-260901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