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RH-18 — Les parois que la machine ne saura pas faire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une pièce aux contraintes de la machine avant de lancer une impression.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une pièce aux contraintes de la machine avant de lancer une 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ne descend pas sous 1,2 mm de paroi. En deçà, elle imprime quelque chose — qui casse à la première manipulation.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quatorze épaisseurs de paroi relevées sur la pièce vous sont fournies. Donnez le nombre de parois strictement inférieures au minimum imprimable de 1,2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épaisseurs relevées, en millimètres, et le minimum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parois passent sous le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épaisseur au minimum.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Choisir sciemment entre strict et large.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6 en incluant la paroi qui vaut exactement 1,2 mm. Le minimum est atteignable : c'est un minimum, pas une borne exclue. Se tromper de sens conduit à reprendre une paroi qui n'en avait pas besoin — ou, dans l'autre sens, à en laisser passer une.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Inclure la paroi qui vaut exactement le minimum.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l'aperçu plutôt que sur les relevés.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relevés, dont un exactement au minimum et trois entre 1,1 et 1,25 : la frontière est peuplée, et le sens de la comparaison change la réponse d'exactement 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parois trop minces. Il ne dit pas comment les épaissir — ce qui suppose de savoir laquelle est structurelle et laquelle est décorative.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l'épaisseur minimale relevée.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machine descendant à 0,8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RH-18 — Les parois que la machine ne saura pas faire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