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RH-20 — Un maillage est-il fermé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REF-019, REF-020, REF-021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par le calcul qu'un maillage est ouvert, et de combien, sans se fier à son apparence.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par le calcul qu'un maillage est ouvert, et de combien, sans se fier à son apparence.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maillage part à l'impression. À l'écran, il paraît parfaitement fermé — c'est toujours le cas.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maillage compte 2 960 faces triangulaires et 4 434 arêtes. Donnez le nombre d'arêtes nues.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faces triangulaires et le nombre d'arêtes.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 arêtes nues.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d'arêtes nues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RH-20 — Un maillage est-il fermé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