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RH-22 — La finesse du maillage à l'export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Régler la finesse d'un maillage d'export à partir de l'écart admissible à la surface, et non au jugé.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Régler la finesse d'un maillage d'export à partir de l'écart admissible à la surface, et non au jugé.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cylindre part en fabrication. Le maillage d'export remplace le cercle par un polygone : la question est de savoir de combien il s'en écarte.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cylindre a 30 mm de rayon. L'écart entre le maillage et la surface réelle ne doit pas dépasser 0,05 mm. Donnez le nombre minimal de facettes sur un demi-tour.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661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661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rayon du cylindre et l'écart maximal admis.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55 facettes sur un demi-tour.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facettes est juste et arrondi au supérieur.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RH-22 — La finesse du maillage à l'export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