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WB-04 — Ce qu'on expose, et ce qu'on cache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WB1 · Interfaces utilisateur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REF-107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Distinguer, parmi les entrées d'une définition, celles qui relèvent d'un choix de l'utilisateur de celles qui se déduisent ou qui règlent l'outil.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WB-01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5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Distinguer, parmi les entrées d'une définition, celles qui relèvent d'un choix de l'utilisateur de celles qui se déduisent ou qui règlent l'outil.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définition va être pilotée depuis Rhino par quelqu'un qui n'ouvrira jamais le graphe. Tout ce qu'on expose, il faudra le lui expliquer ; tout ce qu'on cache, il ne pourra plus le régler.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La définition du meuble compte quatorze entrées, décrites une à une avec ce qu'elles commandent et ce dont elles dépendent. Donnez le nombre d'entrées à exposer dans l'interface.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28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B-04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28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WB-04_sujet.gh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liste des quatorze entrées et leur description.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6 — les six entrées qui relèvent d'un choix du client.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compte est juste.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WB-04_complet.gh,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44250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B-04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42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Classer chaque entrée : choix, grandeur dérivée, ou réglage interne.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Écarter les réglages internes : ils appartiennent à l'auteur de la définition.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Écarter les grandeurs dérivées : les exposer autoriserait des saisies contradictoires.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Compter ce qui reste.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Exposer les quatorze. L'utilisateur peut alors régler la tolérance de couture et la graine aléatoire du placage, et surtout saisir une hauteur de tiroir incompatible avec la hauteur du meuble : trois entrées se DÉDUISENT des autres, et les exposer revient à autoriser deux vérités contradictoires dans la même définition.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Exposer tout ce qui est un curseur.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Exposer une grandeur dérivée « pour laisser le choix », et créer une incohérence silencieuse.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Cacher un vrai choix parce qu'il a une valeur par défaut raisonnable.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Texte, Member Index, Cull Pattern, List Length,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Quatorze entrées : six choix, trois grandeurs dérivées, cinq réglages internes. Les trois familles donnent trois réponses distinctes — 6, 9 et 14 — donc trois erreurs lisibles. Les dérivées sont le vrai discriminant : les repérer demande de lire les dépendances, pas seulement les intitulés.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L'exercice valide un compte, pas une interface. Une interface à six champs mal nommés est aussi inutilisable qu'une interface à quatorze : le nommage se juge en WB-01.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Nommer les six entrées en langage client et poser leurs bornes.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Faire piloter la définition par quelqu'un qui ne connaît pas Grasshopper, et relever ce qu'il demande.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WB-04_sujet.gh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WB-04_complet.gh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WB-04.json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WB-04_fiche.docx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WB-04_fiche_sujet.docx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WB-04 — Ce qu'on expose, et ce qu'on cache · v0.4-260901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