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WB-04 — Ce qu'on expose, et ce qu'on cache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WB1 · Interfaces utilisateur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REF-107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Distinguer, parmi les entrées d'une définition, celles qui relèvent d'un choix de l'utilisateur de celles qui se déduisent ou qui règlent l'outil.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conceptuelle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WB-01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Distinguer, parmi les entrées d'une définition, celles qui relèvent d'un choix de l'utilisateur de celles qui se déduisent ou qui règlent l'outil.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définition va être pilotée depuis Rhino par quelqu'un qui n'ouvrira jamais le graphe. Tout ce qu'on expose, il faudra le lui expliquer ; tout ce qu'on cache, il ne pourra plus le régler.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La définition du meuble compte quatorze entrées, décrites une à une avec ce qu'elles commandent et ce dont elles dépendent. Donnez le nombre d'entrées à exposer dans l'interface.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028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B-04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028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WB-04_sujet.gh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liste des quatorze entrées et leur description.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6 — les six entrées qui relèvent d'un choix du client.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compte est juste.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WB-04 — Ce qu'on expose, et ce qu'on cache · v0.4-260901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