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WB-05 — Dimensionner le calcul d'un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capacité de calcul distante à partir de la fréquentation attendue, en raisonnant sur la pointe et non sur la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capacité de calcul distante à partir de la fréquentation attendue, en raisonnant sur la pointe et non sur la moyenne.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en ligne délègue ses recalculs à un service distant, facturé à l'instance et à l'heure. Sous-dimensionné, il fait attendre ; sur-dimensionné, il coûte pour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configurateur reçoit 12 000 visites par jour, dont 18 % se concentrent sur l'heure de pointe. Chaque visite déclenche 6 recalculs, et un recalcul occupe une instance pendant 1,2 seconde. Donnez le nombre d'instances nécessaires pour tenir la pointe sans faire attendre.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fréquentation quotidienne, la part de l'heure de pointe, le nombre de recalculs par visite et la durée d'un recalcul.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instances — la pointe demande 15 552 secondes de calcul pour 3 600 secondes d'horloge.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d'instances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WB-05 — Dimensionner le calcul d'un configurateur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