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WB-06 — Le poids du modèle que l'on télécharge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fichier d'échange à partir de la structure du maillage exporté, avant de le proposer au téléchargement.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fichier d'échange à partir de la structure du maillage exporté, avant de le proposer au téléchargement.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propose le téléchargement du modèle. Le fichier part souvent sur une connexion mobile : son poids se prévoit avant de le produire, pas après.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d'aperçu compte 24 310 faces quadrangulaires. Vous l'exportez dans un format binaire qui ne stocke que des triangles, avec un en-tête de 84 octets et 50 octets par facette.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maillage, leur nature, et la structure du format d'export.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2 431 084 octets — soit 2,32 Mio.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en octets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2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les faces quadrangulaires en triangles.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par le poids d'une facette.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Ajouter l'en-tête.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Convertir en mébioctets pour l'annoncer à l'utilisateur.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50 octets par face du maillage : 1 215 584 octets, la moitié. Le format ne connaît que le TRIANGLE ; un maillage quadrangulaire est triangulé à l'export, et chaque quadrangle devient deux facettes. L'erreur ne se voit pas au calcul — elle se voit quand le fichier arrive deux fois plus lourd que promis à l'utilisateur.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une facette par face du maillage.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mébioctet et mégaoctet en annonçant le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24 310 quadrangles est l'ordre de grandeur d'un aperçu de meuble correctement maillé. Les deux réponses possibles sont dans un rapport de deux exactement, ce qui rend l'erreur immédiatement identifiable ; et l'en-tête de 84 octets est assez petit pour qu'on l'oublie sans que le résultat change d'ordre de grandeur — donc assez discret pour départager une réponse construite d'une réponse approchée.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Ce format ne porte ni matière, ni couleur, ni unité. Le poids n'est qu'un critère : la fiche invite à le comparer au 3DM et au glTF, qui portent davantage pour un poids voisin.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pour la variante texte du même format et mesurer le rapport.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Réduire le maillage de moitié et juger ce que l'aperçu y perd.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WB-06 — Le poids du modèle que l'on télécharge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