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WB-06 — Le poids du modèle que l'on télécharge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WB2 · Publication web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REF-109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Prévoir le poids d'un fichier d'échange à partir de la structure du maillage exporté, avant de le proposer au téléchargement.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Prévoir le poids d'un fichier d'échange à partir de la structure du maillage exporté, avant de le proposer au téléchargement.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configurateur propose le téléchargement du modèle. Le fichier part souvent sur une connexion mobile : son poids se prévoit avant de le produire, pas après.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maillage d'aperçu compte 24 310 faces quadrangulaires. Vous l'exportez dans un format binaire qui ne stocke que des triangles, avec un en-tête de 84 octets et 50 octets par facette. Donnez le poids du fichier, en octets.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91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-0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91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WB-06_sujet.gh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nombre de faces du maillage, leur nature, et la structure du format d'export.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2 431 084 octets — soit 2,32 Mio.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poids en octets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WB-06 — Le poids du modèle que l'on télécharge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