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GP-02 — Un modèle paramétrique de bout en bout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GP2 · Synthèse géométrie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REF-073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Enchaîner tracé, surface et volume dans une définition unique dont un seul paramètre commande l'ensemble.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Créer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 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9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Enchaîner tracé, surface et volume dans une définition unique dont un seul paramètre commande l'ensemble.</w:t>
      </w:r>
    </w:p>
    <w:p>
      <w:pPr>
        <w:spacing w:before="200" w:after="60"/>
      </w:pPr>
      <w:r>
        <w:rPr>
          <w:rFonts w:ascii="Calibri" w:hAnsi="Calibri"/>
          <w:b/>
          <w:color w:val="444A52"/>
          <w:sz w:val="22"/>
        </w:rPr>
        <w:t>Contexte</w:t>
      </w:r>
    </w:p>
    <w:p>
      <w:pPr>
        <w:spacing w:before="0" w:after="80"/>
      </w:pPr>
      <w:r>
        <w:rPr>
          <w:rFonts w:ascii="Calibri" w:hAnsi="Calibri"/>
          <w:b w:val="0"/>
          <w:i w:val="0"/>
          <w:sz w:val="21"/>
        </w:rPr>
        <w:t>Un escalier droit doit être chiffré en volume de béton avant que sa hauteur d'étage soit figée.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L'escalier fait 1 100 mm de large, avec un giron de 280 mm et une paillasse de 150 mm d'épaisseur. Pour une hauteur d'étage de 2 700 mm et des marches de 175 mm, produisez le volume de béton, en mètres cubes.</w:t>
            </w:r>
          </w:p>
        </w:tc>
      </w:tr>
    </w:tbl>
    <w:p>
      <w:pPr>
        <w:spacing w:after="0"/>
      </w:pP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Trois valeurs réglables : hauteur d'étage, hauteur de marche visée et giron.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 volume de béton, en mètres cubes, à 0,001 près.</w:t>
      </w:r>
    </w:p>
    <w:p>
      <w:pPr>
        <w:spacing w:before="0" w:after="80"/>
      </w:pPr>
      <w:r>
        <w:rPr>
          <w:rFonts w:ascii="Calibri" w:hAnsi="Calibri"/>
          <w:b w:val="0"/>
          <w:i/>
          <w:sz w:val="21"/>
        </w:rPr>
        <w:t>Branchez votre résultat sur le paramètre REPONSE. La correction compare cette sortie en mode NumericTolerance, avec une tolérance de 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Grille : nombre de marches juste (1), hauteur réelle recalculée (1), volume juste (2).</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Établir le nombre de contremarches : hauteur d'étage divisée par la hauteur visée, arrondi à l'entier le plus proche.</w:t>
      </w:r>
    </w:p>
    <w:p>
      <w:pPr>
        <w:spacing w:after="100"/>
        <w:ind w:left="340"/>
      </w:pPr>
      <w:r>
        <w:rPr>
          <w:rFonts w:ascii="Calibri" w:hAnsi="Calibri"/>
          <w:b/>
          <w:color w:val="2E5C8A"/>
          <w:sz w:val="21"/>
        </w:rPr>
        <w:t xml:space="preserve">Étape 2.  </w:t>
      </w:r>
      <w:r>
        <w:rPr>
          <w:rFonts w:ascii="Calibri" w:hAnsi="Calibri"/>
          <w:sz w:val="21"/>
        </w:rPr>
        <w:t>En déduire la hauteur de marche réelle : hauteur d'étage divisée par ce nombre entier.</w:t>
      </w:r>
    </w:p>
    <w:p>
      <w:pPr>
        <w:spacing w:after="100"/>
        <w:ind w:left="340"/>
      </w:pPr>
      <w:r>
        <w:rPr>
          <w:rFonts w:ascii="Calibri" w:hAnsi="Calibri"/>
          <w:b/>
          <w:color w:val="2E5C8A"/>
          <w:sz w:val="21"/>
        </w:rPr>
        <w:t xml:space="preserve">Étape 3.  </w:t>
      </w:r>
      <w:r>
        <w:rPr>
          <w:rFonts w:ascii="Calibri" w:hAnsi="Calibri"/>
          <w:sz w:val="21"/>
        </w:rPr>
        <w:t>Répartir les marches par une suite régulière.</w:t>
      </w:r>
    </w:p>
    <w:p>
      <w:pPr>
        <w:spacing w:after="100"/>
        <w:ind w:left="340"/>
      </w:pPr>
      <w:r>
        <w:rPr>
          <w:rFonts w:ascii="Calibri" w:hAnsi="Calibri"/>
          <w:b/>
          <w:color w:val="2E5C8A"/>
          <w:sz w:val="21"/>
        </w:rPr>
        <w:t xml:space="preserve">Étape 4.  </w:t>
      </w:r>
      <w:r>
        <w:rPr>
          <w:rFonts w:ascii="Calibri" w:hAnsi="Calibri"/>
          <w:sz w:val="21"/>
        </w:rPr>
        <w:t>Construire la paillasse et les marches, les réunir en un solide unique.</w:t>
      </w:r>
    </w:p>
    <w:p>
      <w:pPr>
        <w:spacing w:after="100"/>
        <w:ind w:left="340"/>
      </w:pPr>
      <w:r>
        <w:rPr>
          <w:rFonts w:ascii="Calibri" w:hAnsi="Calibri"/>
          <w:b/>
          <w:color w:val="2E5C8A"/>
          <w:sz w:val="21"/>
        </w:rPr>
        <w:t xml:space="preserve">Étape 5.  </w:t>
      </w:r>
      <w:r>
        <w:rPr>
          <w:rFonts w:ascii="Calibri" w:hAnsi="Calibri"/>
          <w:sz w:val="21"/>
        </w:rPr>
        <w:t>Mesurer le volume et convertir en mètres cubes.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2 700 ÷ 175 = 15,43 marches et arrondir au plus proche. Un escalier a un nombre entier de contremarches, et c'est la hauteur de marche qui s'ajuste, pas la hauteur d'étage. Arrondir la marche au lieu du compte donne un escalier qui n'arrive pas au niveau.</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Réunir les volumes sans booléenne : les recouvrements sont comptés deux fois.</w:t>
      </w:r>
    </w:p>
    <w:p>
      <w:pPr>
        <w:spacing w:after="60"/>
        <w:ind w:left="340"/>
      </w:pPr>
      <w:r>
        <w:rPr>
          <w:rFonts w:ascii="Calibri" w:hAnsi="Calibri"/>
          <w:sz w:val="21"/>
        </w:rPr>
        <w:t>•  Oublier que la dernière contremarche arrive au niveau fini, et poser une marche de trop.</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Rectangle, Extrude, Solid Union, Volume,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2 700 n'est pas divisible par 175 : c'est le cas normal, et c'est ce qui oblige à comprendre lequel des deux nombres est la donnée et lequel est le résultat.</w:t>
      </w:r>
    </w:p>
    <w:p>
      <w:pPr>
        <w:spacing w:before="200" w:after="60"/>
      </w:pPr>
      <w:r>
        <w:rPr>
          <w:rFonts w:ascii="Calibri" w:hAnsi="Calibri"/>
          <w:b/>
          <w:color w:val="444A52"/>
          <w:sz w:val="22"/>
        </w:rPr>
        <w:t>Pour aller plus loin</w:t>
      </w:r>
    </w:p>
    <w:p>
      <w:pPr>
        <w:spacing w:after="60"/>
        <w:ind w:left="340"/>
      </w:pPr>
      <w:r>
        <w:rPr>
          <w:rFonts w:ascii="Calibri" w:hAnsi="Calibri"/>
          <w:sz w:val="21"/>
        </w:rPr>
        <w:t>•  Faire varier la hauteur d'étage et vérifier que le nombre de marches se recale seul.</w:t>
      </w:r>
    </w:p>
    <w:p>
      <w:pPr>
        <w:spacing w:after="60"/>
        <w:ind w:left="340"/>
      </w:pPr>
      <w:r>
        <w:rPr>
          <w:rFonts w:ascii="Calibri" w:hAnsi="Calibri"/>
          <w:sz w:val="21"/>
        </w:rPr>
        <w:t>•  Ajouter un palier intermédiaire et reprendre le calcul.</w:t>
      </w:r>
    </w:p>
    <w:p>
      <w:pPr>
        <w:spacing w:before="200" w:after="60"/>
      </w:pPr>
      <w:r>
        <w:rPr>
          <w:rFonts w:ascii="Calibri" w:hAnsi="Calibri"/>
          <w:b/>
          <w:color w:val="444A52"/>
          <w:sz w:val="22"/>
        </w:rPr>
        <w:t>Fichiers de cet exercice</w:t>
      </w:r>
    </w:p>
    <w:p>
      <w:pPr>
        <w:spacing w:after="60"/>
        <w:ind w:left="340"/>
      </w:pPr>
      <w:r>
        <w:rPr>
          <w:rFonts w:ascii="Calibri" w:hAnsi="Calibri"/>
          <w:sz w:val="21"/>
        </w:rPr>
        <w:t>•  GP-02_sujet.gh — énoncé et données de départ, sans le corrigé</w:t>
      </w:r>
    </w:p>
    <w:p>
      <w:pPr>
        <w:spacing w:after="60"/>
        <w:ind w:left="340"/>
      </w:pPr>
      <w:r>
        <w:rPr>
          <w:rFonts w:ascii="Calibri" w:hAnsi="Calibri"/>
          <w:sz w:val="21"/>
        </w:rPr>
        <w:t>•  GP-02_complet.gh — énoncé et corrigé, ce dernier commandé par l'interrupteur</w:t>
      </w:r>
    </w:p>
    <w:p>
      <w:pPr>
        <w:spacing w:after="60"/>
        <w:ind w:left="340"/>
      </w:pPr>
      <w:r>
        <w:rPr>
          <w:rFonts w:ascii="Calibri" w:hAnsi="Calibri"/>
          <w:sz w:val="21"/>
        </w:rPr>
        <w:t>•  GP-02.json — descripteur pour le plugin Magpie</w:t>
      </w:r>
    </w:p>
    <w:p>
      <w:pPr>
        <w:spacing w:after="60"/>
        <w:ind w:left="340"/>
      </w:pPr>
      <w:r>
        <w:rPr>
          <w:rFonts w:ascii="Calibri" w:hAnsi="Calibri"/>
          <w:sz w:val="21"/>
        </w:rPr>
        <w:t>•  GP-02_fiche.docx — la présente fiche</w:t>
      </w:r>
    </w:p>
    <w:p>
      <w:pPr>
        <w:spacing w:after="60"/>
        <w:ind w:left="340"/>
      </w:pPr>
      <w:r>
        <w:rPr>
          <w:rFonts w:ascii="Calibri" w:hAnsi="Calibri"/>
          <w:sz w:val="21"/>
        </w:rPr>
        <w:t>•  GP-02_fiche_sujet.docx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GP-02 — Un modèle paramétrique de bout en bout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