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 respectant l'écart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Mailler la surface en fixant l'écart maximal, non la densité.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 maillage est fermé et sans face dégénérée.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les jonctions si le maillage sort en morceaux.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poids du fichier exporté : c'est la contrepartie directe de la finesse.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Augmenter la densité jusqu'à ce que « ça ait l'air bien ». L'écart maximal est un réglage explicite : à l'œil, on produit soit un maillage grossier qui passe pour lisse à l'écran, soit un maillage inutilement lourd.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la densité au lieu de l'écart : le résultat n'est plus contrôlable.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Maillage en plusieurs morceaux non joints : il paraît fermé et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Mesh Brep, Mesh Join, Face Count,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présente une zone de forte courbure et une zone plane : un maillage à densité uniforme y est toujours mauvais quelque part, ce qui oblige à passer par le critère d'écart.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de faces dépend de la version de Rhino et du mailleur : la correction accepte une plage plutôt qu'une valeur unique. C'est le respect du critère d'écart qui est évalué, pas le compte exact.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Doubler l'écart admis et mesurer le gain en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Lisser le maillage et vérifier ce que le lissage fait à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