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GP-04 — SubD ou NURBS ?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GP3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REF-077, REF-078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poignée de meuble doit être dessinée en forme libre, puis usinée.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devez dessiner une poignée de forme libre, qui sera ensuite usinée à partir d'un modèle exact. Par quoi commencez-vous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Directement en NURBS, puisque c'est ce qu'il faut à la fin.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En SubD pour la recherche de forme, converti en NURBS pour l'usinage.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En maillage, plus simple à déformer.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Peu importe, les trois sont équivalents.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le réflexe de qui connaît la contrainte de sortie et pas les outils de forme — on y passe un temps considérable à recaler des points de contrôle. (c) donne une forme facile à modeler et impossible à usiner proprement. La bonne réponse tient à ce que SubD et NURBS ne s'opposent pas : l'un sert la conception, l'autre la fabrication, et la conversion est prévue pour.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GP-04 — SubD ou NURBS ?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