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pièce,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facteur d'échelle maximal, à 0,01 près, arrondi vers le bas.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Encadrer la pièce pour obtenir ses trois dimensions hors tout.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rapport disponible sur chacun des trois axes.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le plus petit des trois : c'est lui qui limite.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vers le bas, jamais au plus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Contrôler, après mise à l'échelle, que la paroi la plus fine reste au-dessus de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Arrondir le facteur au plus proche plutôt qu'au inférieur. À 0,005 près, la pièce dépasse — et la machine s'en aperçoit après trois heures d'impression, pas avant. Le contexte impose le sens de l'arrondi, comme en A-06.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des trois rapports.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mise à l'échelle réduit aussi les parois : une pièce qui rentre peut devenir non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Bounding Box, Deconstruct Brep,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dimensions de la pièce ne sont pas proportionnelles à celles du plateau : le facteur limitant n'est pas le même selon l'axe, et il faut retenir le plus petit des trois.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pivoter la pièce de 90° et voir si le facteur s'améliore.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marge de 2 mm sur chaque axe et refaire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