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WB-03 — Rhino sans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REF-111, REF-112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application métier doit exploiter la géométrie de Rhino sans que l'utilisateur ouvre Rhino.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voulez faire tourner une définition Grasshopper depuis une application web, sans interface Rhino. Que cherchez-vous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Rhino.Inside, qui charge Rhino dans un autre logiciel hôte.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Rhino.Compute, qui expose le moteur de calcul comme un service appelable à distance.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export en maillage, qui suffit toujours.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Les deux font la même chose.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et (d) confondent deux réponses à deux besoins différents — Rhino.Inside fait cohabiter Rhino avec Revit ou AutoCAD sur le même poste ; Rhino.Compute met le moteur au bout d'un appel réseau. Se tromper de l'un pour l'autre fait partir sur une architecture entière qu'il faudra défaire.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WB-03 — Rhino sans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