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DV-08 — Ce que le remappage fait aux branches</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DV2 · API et librairies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REF-105</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Prévoir la structure d'un arbre après un remappage de chemins, en raisonnant sur les chemins plutôt que sur les données.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Analyser × conceptuelle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Expert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DV-03</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6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v0.3-260826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Prévoir la structure d'un arbre après un remappage de chemins, en raisonnant sur les chemins plutôt que sur les données.</w:t>
      </w:r>
    </w:p>
    <w:p>
      <w:pPr>
        <w:spacing w:before="200" w:after="60"/>
      </w:pPr>
      <w:r>
        <w:rPr>
          <w:rFonts w:ascii="Calibri" w:hAnsi="Calibri"/>
          <w:b/>
          <w:color w:val="444A52"/>
          <w:sz w:val="22"/>
        </w:rPr>
        <w:t>Contexte</w:t>
      </w:r>
    </w:p>
    <w:p>
      <w:pPr>
        <w:spacing w:before="0" w:after="80"/>
      </w:pPr>
      <w:r>
        <w:rPr>
          <w:rFonts w:ascii="Calibri" w:hAnsi="Calibri"/>
          <w:b w:val="0"/>
          <w:i w:val="0"/>
          <w:sz w:val="21"/>
        </w:rPr>
        <w:t>Le composant scripté reçoit un arbre à deux niveaux et doit rendre un résultat par valeur du second niveau, toutes origines confondues.</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L'arbre porte trois valeurs au premier niveau de chemin et quatre au second, soit une branche par combinaison. Le remappage ne conserve que le second niveau. Donnez le nombre de branches obtenues.</w:t>
            </w:r>
          </w:p>
        </w:tc>
      </w:tr>
    </w:tbl>
    <w:p>
      <w:pPr>
        <w:spacing w:after="0"/>
      </w:pPr>
    </w:p>
    <w:p>
      <w:pPr>
        <w:spacing w:before="80" w:after="40"/>
        <w:jc w:val="center"/>
      </w:pPr>
      <w:r>
        <w:drawing>
          <wp:inline xmlns:a="http://schemas.openxmlformats.org/drawingml/2006/main" xmlns:pic="http://schemas.openxmlformats.org/drawingml/2006/picture">
            <wp:extent cx="5903999" cy="2472073"/>
            <wp:docPr id="1" name="Picture 1"/>
            <wp:cNvGraphicFramePr>
              <a:graphicFrameLocks noChangeAspect="1"/>
            </wp:cNvGraphicFramePr>
            <a:graphic>
              <a:graphicData uri="http://schemas.openxmlformats.org/drawingml/2006/picture">
                <pic:pic>
                  <pic:nvPicPr>
                    <pic:cNvPr id="0" name="DV-08_canvas_sujet.png"/>
                    <pic:cNvPicPr/>
                  </pic:nvPicPr>
                  <pic:blipFill>
                    <a:blip r:embed="rId10"/>
                    <a:stretch>
                      <a:fillRect/>
                    </a:stretch>
                  </pic:blipFill>
                  <pic:spPr>
                    <a:xfrm>
                      <a:off x="0" y="0"/>
                      <a:ext cx="5903999" cy="2472073"/>
                    </a:xfrm>
                    <a:prstGeom prst="rect"/>
                  </pic:spPr>
                </pic:pic>
              </a:graphicData>
            </a:graphic>
          </wp:inline>
        </w:drawing>
      </w:r>
    </w:p>
    <w:p>
      <w:pPr>
        <w:spacing w:after="160"/>
        <w:jc w:val="center"/>
      </w:pPr>
      <w:r>
        <w:rPr>
          <w:rFonts w:ascii="Calibri" w:hAnsi="Calibri"/>
          <w:i/>
          <w:color w:val="444A52"/>
          <w:sz w:val="18"/>
        </w:rPr>
        <w:t>Le canvas à l'ouverture de DV-08_sujet.gh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La structure de l'arbre de départ et la règle de remappage.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4 branches — une par valeur du second niveau.</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le nombre de branches est juste.</w:t>
      </w:r>
    </w:p>
    <w:p>
      <w:pPr>
        <w:spacing w:before="200" w:after="80"/>
      </w:pPr>
      <w:r>
        <w:rPr>
          <w:rFonts w:ascii="Calibri" w:hAnsi="Calibri"/>
          <w:b w:val="0"/>
          <w:i/>
          <w:sz w:val="21"/>
        </w:rPr>
        <w:t>Le corrigé fait l'objet d'une fiche distincte, remise après validation ou en fin de séance.</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DV-08 — Ce que le remappage fait aux branches · v0.3-260826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