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GP-07 — Ce que la soudure retire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GP4 · Maillages et SubD</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REF-076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Mesurer la redondance d'un maillage construit face par face, et ce que la soudure des sommets lui retire.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GP-06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Mesurer la redondance d'un maillage construit face par face, et ce que la soudure des sommets lui retire.</w:t>
      </w:r>
    </w:p>
    <w:p>
      <w:pPr>
        <w:spacing w:before="200" w:after="60"/>
      </w:pPr>
      <w:r>
        <w:rPr>
          <w:rFonts w:ascii="Calibri" w:hAnsi="Calibri"/>
          <w:b/>
          <w:color w:val="444A52"/>
          <w:sz w:val="22"/>
        </w:rPr>
        <w:t>Contexte</w:t>
      </w:r>
    </w:p>
    <w:p>
      <w:pPr>
        <w:spacing w:before="0" w:after="80"/>
      </w:pPr>
      <w:r>
        <w:rPr>
          <w:rFonts w:ascii="Calibri" w:hAnsi="Calibri"/>
          <w:b w:val="0"/>
          <w:i w:val="0"/>
          <w:sz w:val="21"/>
        </w:rPr>
        <w:t>Le maillage a été construit quadrangle par quadrangle. Chaque face porte ses quatre sommets, sans savoir que ses voisines portent les mêmes.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La nappe compte 48 divisions par 30, en quadrangles construits un à un. Donnez le nombre de sommets que la soudure supprimera.</w:t>
            </w:r>
          </w:p>
        </w:tc>
      </w:tr>
    </w:tbl>
    <w:p>
      <w:pPr>
        <w:spacing w:after="0"/>
      </w:pPr>
    </w:p>
    <w:p>
      <w:pPr>
        <w:spacing w:before="80" w:after="40"/>
        <w:jc w:val="center"/>
      </w:pPr>
      <w:r>
        <w:drawing>
          <wp:inline xmlns:a="http://schemas.openxmlformats.org/drawingml/2006/main" xmlns:pic="http://schemas.openxmlformats.org/drawingml/2006/picture">
            <wp:extent cx="5903999" cy="1865500"/>
            <wp:docPr id="1" name="Picture 1"/>
            <wp:cNvGraphicFramePr>
              <a:graphicFrameLocks noChangeAspect="1"/>
            </wp:cNvGraphicFramePr>
            <a:graphic>
              <a:graphicData uri="http://schemas.openxmlformats.org/drawingml/2006/picture">
                <pic:pic>
                  <pic:nvPicPr>
                    <pic:cNvPr id="0" name="GP-07_canvas_sujet.png"/>
                    <pic:cNvPicPr/>
                  </pic:nvPicPr>
                  <pic:blipFill>
                    <a:blip r:embed="rId10"/>
                    <a:stretch>
                      <a:fillRect/>
                    </a:stretch>
                  </pic:blipFill>
                  <pic:spPr>
                    <a:xfrm>
                      <a:off x="0" y="0"/>
                      <a:ext cx="5903999" cy="1865500"/>
                    </a:xfrm>
                    <a:prstGeom prst="rect"/>
                  </pic:spPr>
                </pic:pic>
              </a:graphicData>
            </a:graphic>
          </wp:inline>
        </w:drawing>
      </w:r>
    </w:p>
    <w:p>
      <w:pPr>
        <w:spacing w:after="160"/>
        <w:jc w:val="center"/>
      </w:pPr>
      <w:r>
        <w:rPr>
          <w:rFonts w:ascii="Calibri" w:hAnsi="Calibri"/>
          <w:i/>
          <w:color w:val="444A52"/>
          <w:sz w:val="18"/>
        </w:rPr>
        <w:t>Le canvas à l'ouverture de GP-07_sujet.gh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deux nombres de divisions, et le mode de construction face par face.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4 241 sommets supprimés — de 5 760 à 1 519.</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nombre de sommets supprimés est juste.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GP-07_complet.gh,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6528839"/>
            <wp:docPr id="2" name="Picture 2"/>
            <wp:cNvGraphicFramePr>
              <a:graphicFrameLocks noChangeAspect="1"/>
            </wp:cNvGraphicFramePr>
            <a:graphic>
              <a:graphicData uri="http://schemas.openxmlformats.org/drawingml/2006/picture">
                <pic:pic>
                  <pic:nvPicPr>
                    <pic:cNvPr id="0" name="GP-07_canvas_corrige.png"/>
                    <pic:cNvPicPr/>
                  </pic:nvPicPr>
                  <pic:blipFill>
                    <a:blip r:embed="rId11"/>
                    <a:stretch>
                      <a:fillRect/>
                    </a:stretch>
                  </pic:blipFill>
                  <pic:spPr>
                    <a:xfrm>
                      <a:off x="0" y="0"/>
                      <a:ext cx="5903999" cy="652883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Compter les sommets du maillage non soudé : quatre par face.</w:t>
      </w:r>
    </w:p>
    <w:p>
      <w:pPr>
        <w:spacing w:after="100"/>
        <w:ind w:left="340"/>
      </w:pPr>
      <w:r>
        <w:rPr>
          <w:rFonts w:ascii="Calibri" w:hAnsi="Calibri"/>
          <w:b/>
          <w:color w:val="2E5C8A"/>
          <w:sz w:val="21"/>
        </w:rPr>
        <w:t xml:space="preserve">Étape 2.  </w:t>
      </w:r>
      <w:r>
        <w:rPr>
          <w:rFonts w:ascii="Calibri" w:hAnsi="Calibri"/>
          <w:sz w:val="21"/>
        </w:rPr>
        <w:t>Compter ceux du maillage soudé.</w:t>
      </w:r>
    </w:p>
    <w:p>
      <w:pPr>
        <w:spacing w:after="100"/>
        <w:ind w:left="340"/>
      </w:pPr>
      <w:r>
        <w:rPr>
          <w:rFonts w:ascii="Calibri" w:hAnsi="Calibri"/>
          <w:b/>
          <w:color w:val="2E5C8A"/>
          <w:sz w:val="21"/>
        </w:rPr>
        <w:t xml:space="preserve">Étape 3.  </w:t>
      </w:r>
      <w:r>
        <w:rPr>
          <w:rFonts w:ascii="Calibri" w:hAnsi="Calibri"/>
          <w:sz w:val="21"/>
        </w:rPr>
        <w:t>Soustraire.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Répondre 1 519, le nombre de sommets APRÈS soudure, au lieu du nombre supprimé. Les deux chiffres racontent la même opération, mais seul le second dit ce que le maillage transportait pour rien : près des trois quarts de ses sommets.</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Rendre le nombre de sommets restants.</w:t>
      </w:r>
    </w:p>
    <w:p>
      <w:pPr>
        <w:spacing w:after="60"/>
        <w:ind w:left="340"/>
      </w:pPr>
      <w:r>
        <w:rPr>
          <w:rFonts w:ascii="Calibri" w:hAnsi="Calibri"/>
          <w:sz w:val="21"/>
        </w:rPr>
        <w:t>•  Compter trois sommets par face, comme pour un triangle.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Multiplication, Addition, Subtraction,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Quatre sommets par quadrangle non soudé contre 1 519 après soudure : le maillage brut est 3,8 fois plus lourd que nécessaire. C'est l'ordre de grandeur réel d'un maillage produit face par face, et la raison pour laquelle un fichier d'export paraît parfois inexplicablement gros.</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La soudure suppose une tolérance. Trop large, elle referme des arêtes qui devaient rester ouvertes — l'exercice ne traite pas ce réglage.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Chiffrer le gain de poids du fichier exporté.</w:t>
      </w:r>
    </w:p>
    <w:p>
      <w:pPr>
        <w:spacing w:after="60"/>
        <w:ind w:left="340"/>
      </w:pPr>
      <w:r>
        <w:rPr>
          <w:rFonts w:ascii="Calibri" w:hAnsi="Calibri"/>
          <w:sz w:val="21"/>
        </w:rPr>
        <w:t>•  Refaire le calcul pour un maillage triangulé.</w:t>
      </w:r>
    </w:p>
    <w:p>
      <w:pPr>
        <w:spacing w:before="200" w:after="60"/>
      </w:pPr>
      <w:r>
        <w:rPr>
          <w:rFonts w:ascii="Calibri" w:hAnsi="Calibri"/>
          <w:b/>
          <w:color w:val="444A52"/>
          <w:sz w:val="22"/>
        </w:rPr>
        <w:t>Fichiers de cet exercice</w:t>
      </w:r>
    </w:p>
    <w:p>
      <w:pPr>
        <w:spacing w:after="60"/>
        <w:ind w:left="340"/>
      </w:pPr>
      <w:r>
        <w:rPr>
          <w:rFonts w:ascii="Calibri" w:hAnsi="Calibri"/>
          <w:sz w:val="21"/>
        </w:rPr>
        <w:t>•  GP-07_sujet.gh — énoncé et données de départ, sans le corrigé</w:t>
      </w:r>
    </w:p>
    <w:p>
      <w:pPr>
        <w:spacing w:after="60"/>
        <w:ind w:left="340"/>
      </w:pPr>
      <w:r>
        <w:rPr>
          <w:rFonts w:ascii="Calibri" w:hAnsi="Calibri"/>
          <w:sz w:val="21"/>
        </w:rPr>
        <w:t>•  GP-07_complet.gh — énoncé et corrigé, ce dernier commandé par l'interrupteur</w:t>
      </w:r>
    </w:p>
    <w:p>
      <w:pPr>
        <w:spacing w:after="60"/>
        <w:ind w:left="340"/>
      </w:pPr>
      <w:r>
        <w:rPr>
          <w:rFonts w:ascii="Calibri" w:hAnsi="Calibri"/>
          <w:sz w:val="21"/>
        </w:rPr>
        <w:t>•  GP-07.json — descripteur pour le plugin Magpie</w:t>
      </w:r>
    </w:p>
    <w:p>
      <w:pPr>
        <w:spacing w:after="60"/>
        <w:ind w:left="340"/>
      </w:pPr>
      <w:r>
        <w:rPr>
          <w:rFonts w:ascii="Calibri" w:hAnsi="Calibri"/>
          <w:sz w:val="21"/>
        </w:rPr>
        <w:t>•  GP-07_fiche.docx — la présente fiche</w:t>
      </w:r>
    </w:p>
    <w:p>
      <w:pPr>
        <w:spacing w:after="60"/>
        <w:ind w:left="340"/>
      </w:pPr>
      <w:r>
        <w:rPr>
          <w:rFonts w:ascii="Calibri" w:hAnsi="Calibri"/>
          <w:sz w:val="21"/>
        </w:rPr>
        <w:t>•  GP-07_fiche_sujet.docx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GP-07 — Ce que la soudure retire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