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GP-08 — Ce que coûte une subdivision de plus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GP4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REF-077, REF-078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Anticiper la croissance d'une surface de subdivision, et choisir le niveau d'affichage en connaissance de cause.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Anticiper la croissance d'une surface de subdivision, et choisir le niveau d'affichage en connaissance de cause.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cage de subdivision est légère et se manipule bien. C'est l'affichage lissé qui fait ramer la machine.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cage compte 26 faces. Chaque passe de subdivision remplace chaque face par quatre. Donnez le nombre de faces après trois passes.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faces de la cage et le nombre de passes.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1 664 faces après trois passes.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faces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96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9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Comprendre que la croissance est géométrique.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Élever quatre à la puissance du nombre de passes.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Multiplier par le nombre de faces de la cage.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Multiplier une seule fois par quatre (104), ou multiplier par trois (78). La croissance est GÉOMÉTRIQUE : chaque passe quadruple ce que la précédente a produit. C'est pour cela qu'une passe de plus, décidée sans y penser, fait passer un modèle fluide à un modèle inutilisable.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Multiplier par le nombre de passes.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N'appliquer le facteur qu'une fois.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26 faces est la taille d'une cage de mobilier. Les trois réponses possibles — 78, 104 et 1 664 — sont séparées d'un ordre de grandeur, ce qui rend chaque erreur immédiatement lisible.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le nombre de passes qui dépasse cent mille faces.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au coût d'affichage d'un maillage équivalent.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GP-08 — Ce que coûte une subdivision de plus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