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GP-08 — Ce que coûte une subdivision de plus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GP4 · Maillages et SubD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REF-077, REF-078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Anticiper la croissance d'une surface de subdivision, et choisir le niveau d'affichage en connaissance de cause.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Anticiper la croissance d'une surface de subdivision, et choisir le niveau d'affichage en connaissance de cause.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cage de subdivision est légère et se manipule bien. C'est l'affichage lissé qui fait ramer la machine.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cage compte 26 faces. Chaque passe de subdivision remplace chaque face par quatre. Donnez le nombre de faces après trois passes.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72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0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7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GP-08_sujet.gh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nombre de faces de la cage et le nombre de passes.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1 664 faces après trois passes.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de faces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GP-08 — Ce que coûte une subdivision de plus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