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PL-08_complet.gh,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573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3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chaque surnom en se demandant ce qu'il apprend à qui n'a pas écrit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Écarter le critère de longueur.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les muets.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surnoms COURTS. « Pt » et « Vec » sont courts et muets, mais « Jeu de pose » est court et parlant, tandis qu'un surnom long et générique ne vaudrait pas mieux que « A ». Ce qui se juge est ce que le surnom APPREND, pas sa longueur.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Considérer qu'un nom de composant par défaut est acceptable parce qu'il est exact.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Booléen,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surnoms muets sur vingt-quatre, soit plus de quatre sur dix — la proportion ordinaire d'une définition écrite sans intention de la faire relire. Les muets se répartissent en deux familles : six abréviations de composants (Srf, Mult, Div, Rot, Pt, Vec) et quatre lettres seules (A, D, X, N). Deux familles, pour qu'un critère de longueur seul ne suffise pas à les trouver.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compte. Il ne renomme pas — et renommer est le vrai travail, qui se juge en MP-01.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Proposer un surnom parlant pour chacun des dix.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Installer un plugin d'affichage des noms et refaire la lecture.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