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RH-13 — Ce que le fichier contient vraiment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REF-006, REF-004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ce qu'un fichier contient de ce qu'il affiche, et compter sur la structure plutôt que sur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ce qu'un fichier contient de ce qu'il affiche, et compter sur la structure plutôt que sur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d'envoyer le fichier, on veut savoir ce qu'il transporte : un calque éteint part quand même, avec tout ce qu'il contient.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huit calques vous sont fournis avec leur état et le nombre d'objets de chacun. Donnez le nombre d'objets actuellement VISIBLES.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calques : nom, allumé ou éteint, nombre d'objets.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176 objets visibles, sur les 270 que contient le fichier.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objets visibles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Retenir les seuls calques allumés.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 leurs objets.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au total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270, le contenu du fichier. C'est la bonne réponse à une autre question — et c'est justement l'écart entre les deux qui compte : 94 objets, dont d'anciens relevés, partiront chez le destinataire sans que personne les ait vus.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Sommer tous les calques.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qu'un calque éteint voyage avec le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Booléen, Nombre, Cull Pattern,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calques allumés sur huit, et les éteints portent un tiers des objets. Les deux réponses — 176 et 270 — sont assez éloignées pour qu'aucune approximation ne les confonde.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objets visibles ne dit rien de leur poids ni de ce qu'ils révèlent. Un calque éteint nommé « anciens relevés » est un problème de confidentialité avant d'être un problème de comptage.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ce que le fichier transporterait après purge des calques éteints.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calques dont le nom seul pose un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RH-13 — Ce que le fichier contient vraiment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