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RH-18 — Les parois que la machine ne saura pas faire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une pièce aux contraintes de la machine avant de lancer une impression.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une pièce aux contraintes de la machine avant de lancer une 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ne descend pas sous 1,2 mm de paroi. En deçà, elle imprime quelque chose — qui casse à la première manipulation.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quatorze épaisseurs de paroi relevées sur la pièce vous sont fournies. Donnez le nombre de parois strictement inférieures au minimum imprimable de 1,2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épaisseurs relevées, en millimètres, et le minimum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parois passent sous le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chaque épaisseur au minimum.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Choisir sciemment entre strict et large.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6 en incluant la paroi qui vaut exactement 1,2 mm. Le minimum est atteignable : c'est un minimum, pas une borne exclue. Se tromper de sens conduit à reprendre une paroi qui n'en avait pas besoin — ou, dans l'autre sens, à en laisser passer une.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Inclure la paroi qui vaut exactement le minimum.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Juger sur l'aperçu plutôt que sur les relevés.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relevés, dont un exactement au minimum et trois entre 1,1 et 1,25 : la frontière est peuplée, et le sens de la comparaison change la réponse d'exactement 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 les parois trop minces. Il ne dit pas comment les épaissir — ce qui suppose de savoir laquelle est structurelle et laquelle est décorative.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l'épaisseur minimale relevée.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machine descendant à 0,8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RH-18 — Les parois que la machine ne saura pas faire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