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RH-20 — Un maillage est-il fermé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par le calcul qu'un maillage est ouvert, et de combien, sans se fier à son apparence.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par le calcul qu'un maillage est ouvert, et de combien, sans se fier à son apparence.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maillage part à l'impression. À l'écran, il paraît parfaitement fermé — c'est toujours le cas.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compte 2 960 faces triangulaires et 4 434 arêtes. Donnez le nombre d'arêtes nues.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triangulaires et le nombre d'arêtes.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arêtes nues.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d'arêtes nues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382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382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Compter les arêtes qu'exigent les faces : trois par triangle.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Compter celles qu'offrent les arêtes réelles : deux usages chacune si elles sont intérieures.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 différence est le nombre d'arêtes nues.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Conclure que le maillage est fermé parce que rien ne se voit. Un maillage fermé de 2 960 triangles aurait exactement 4 440 arêtes : chaque arête y est partagée par deux faces. Il en manque six, donc douze arêtes ne sont bordées que d'une seule face — et la pièce sortira de la machine avec un trou.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Se fier à l'aperçu.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arêtes nues et faces manquantes.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Subtraction,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raisonnement tient en une ligne : trois arêtes par triangle, deux triangles par arête intérieure, donc 3F − 2E arêtes nues. Douze arêtes nues sur 4 434, c'est 0,3 % — invisible à l'œil, rédhibitoire à la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dit qu'il y a des trous, pas où ils sont. Les localiser demande les outils d'analyse, que RH-21 aborde.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Retrouver le nombre d'arêtes d'un maillage fermé de même nombre de faces.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pour un maillage quadrangulaire.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RH-20 — Un maillage est-il fermé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