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RH-20 — Un maillage est-il fermé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REF-019, REF-020, REF-021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par le calcul qu'un maillage est ouvert, et de combien, sans se fier à son apparence.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par le calcul qu'un maillage est ouvert, et de combien, sans se fier à son apparence.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maillage part à l'impression. À l'écran, il paraît parfaitement fermé — c'est toujours le cas.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maillage compte 2 960 faces triangulaires et 4 434 arêtes. Donnez le nombre d'arêtes nues.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faces triangulaires et le nombre d'arêtes.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12 arêtes nues.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d'arêtes nues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RH-20 — Un maillage est-il fermé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