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RH-22 — La finesse du maillage à l'export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RH3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REF-024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Régler la finesse d'un maillage d'export à partir de l'écart admissible à la surface, et non au jugé.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25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RH-10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Régler la finesse d'un maillage d'export à partir de l'écart admissible à la surface, et non au jugé.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cylindre part en fabrication. Le maillage d'export remplace le cercle par un polygone : la question est de savoir de combien il s'en écarte.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Le cylindre a 30 mm de rayon. L'écart entre le maillage et la surface réelle ne doit pas dépasser 0,05 mm. Donnez le nombre minimal de facettes sur un demi-tour.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6616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22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6616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RH-22_sujet.gh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rayon du cylindre et l'écart maximal admis.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55 facettes sur un demi-tour.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nombre de facettes est juste et arrondi au supérieur.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RH-22 — La finesse du maillage à l'export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