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A-17 — Fusionner et entrelacer</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A3 · Listes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REF-042</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Entrelacer deux listes selon un motif d'alternance.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Appliquer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Débutant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6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A-13</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ExactOrderedList — tolérance —</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3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v0.3-260826 — Ind. B — 26/08/2026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Entrelacer deux listes selon un motif d'alternance.</w:t>
      </w:r>
    </w:p>
    <w:p>
      <w:pPr>
        <w:spacing w:before="200" w:after="60"/>
      </w:pPr>
      <w:r>
        <w:rPr>
          <w:rFonts w:ascii="Calibri" w:hAnsi="Calibri"/>
          <w:b/>
          <w:color w:val="444A52"/>
          <w:sz w:val="22"/>
        </w:rPr>
        <w:t>Contexte</w:t>
      </w:r>
    </w:p>
    <w:p>
      <w:pPr>
        <w:spacing w:before="0" w:after="80"/>
      </w:pPr>
      <w:r>
        <w:rPr>
          <w:rFonts w:ascii="Calibri" w:hAnsi="Calibri"/>
          <w:b w:val="0"/>
          <w:i w:val="0"/>
          <w:sz w:val="21"/>
        </w:rPr>
        <w:t>Un plateau se compose de lames de deux essences posées en alternance stricte.</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Cinq lames de chêne et cinq lames de noyer vous sont fournies dans deux listes séparées, repérées par leur longueur. Produisez l'ordre de pose du plateau, une essence sur deux en commençant par le chêne.</w:t>
            </w:r>
          </w:p>
        </w:tc>
      </w:tr>
    </w:tbl>
    <w:p>
      <w:pPr>
        <w:spacing w:after="0"/>
      </w:pPr>
    </w:p>
    <w:p>
      <w:pPr>
        <w:spacing w:before="80" w:after="40"/>
        <w:jc w:val="center"/>
      </w:pPr>
      <w:r>
        <w:drawing>
          <wp:inline xmlns:a="http://schemas.openxmlformats.org/drawingml/2006/main" xmlns:pic="http://schemas.openxmlformats.org/drawingml/2006/picture">
            <wp:extent cx="5903999" cy="2877400"/>
            <wp:docPr id="1" name="Picture 1"/>
            <wp:cNvGraphicFramePr>
              <a:graphicFrameLocks noChangeAspect="1"/>
            </wp:cNvGraphicFramePr>
            <a:graphic>
              <a:graphicData uri="http://schemas.openxmlformats.org/drawingml/2006/picture">
                <pic:pic>
                  <pic:nvPicPr>
                    <pic:cNvPr id="0" name="A-17_canvas_sujet.png"/>
                    <pic:cNvPicPr/>
                  </pic:nvPicPr>
                  <pic:blipFill>
                    <a:blip r:embed="rId10"/>
                    <a:stretch>
                      <a:fillRect/>
                    </a:stretch>
                  </pic:blipFill>
                  <pic:spPr>
                    <a:xfrm>
                      <a:off x="0" y="0"/>
                      <a:ext cx="5903999" cy="2877400"/>
                    </a:xfrm>
                    <a:prstGeom prst="rect"/>
                  </pic:spPr>
                </pic:pic>
              </a:graphicData>
            </a:graphic>
          </wp:inline>
        </w:drawing>
      </w:r>
    </w:p>
    <w:p>
      <w:pPr>
        <w:spacing w:after="160"/>
        <w:jc w:val="center"/>
      </w:pPr>
      <w:r>
        <w:rPr>
          <w:rFonts w:ascii="Calibri" w:hAnsi="Calibri"/>
          <w:i/>
          <w:color w:val="444A52"/>
          <w:sz w:val="18"/>
        </w:rPr>
        <w:t>Le canvas à l'ouverture de A-17_sujet.gh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Les longueurs des cinq lames de chêne et des cinq lames de noyer, dans deux listes séparées.</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1245, 1418, 1268, 1463, 1231, 1437, 1287, 1409, 1252, 1481.</w:t>
      </w:r>
    </w:p>
    <w:p>
      <w:pPr>
        <w:spacing w:before="0" w:after="80"/>
      </w:pPr>
      <w:r>
        <w:rPr>
          <w:rFonts w:ascii="Calibri" w:hAnsi="Calibri"/>
          <w:b w:val="0"/>
          <w:i/>
          <w:sz w:val="21"/>
        </w:rPr>
        <w:t>Branchez votre résultat sur le paramètre REPONSE. La correction compare cette sortie en mode ExactOrderedList.</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si l'ordre exact est obtenu.</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A-17_complet.gh,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80" w:after="40"/>
        <w:jc w:val="center"/>
      </w:pPr>
      <w:r>
        <w:drawing>
          <wp:inline xmlns:a="http://schemas.openxmlformats.org/drawingml/2006/main" xmlns:pic="http://schemas.openxmlformats.org/drawingml/2006/picture">
            <wp:extent cx="5853354" cy="6839999"/>
            <wp:docPr id="2" name="Picture 2"/>
            <wp:cNvGraphicFramePr>
              <a:graphicFrameLocks noChangeAspect="1"/>
            </wp:cNvGraphicFramePr>
            <a:graphic>
              <a:graphicData uri="http://schemas.openxmlformats.org/drawingml/2006/picture">
                <pic:pic>
                  <pic:nvPicPr>
                    <pic:cNvPr id="0" name="A-17_canvas_corrige.png"/>
                    <pic:cNvPicPr/>
                  </pic:nvPicPr>
                  <pic:blipFill>
                    <a:blip r:embed="rId11"/>
                    <a:stretch>
                      <a:fillRect/>
                    </a:stretch>
                  </pic:blipFill>
                  <pic:spPr>
                    <a:xfrm>
                      <a:off x="0" y="0"/>
                      <a:ext cx="5853354" cy="6839999"/>
                    </a:xfrm>
                    <a:prstGeom prst="rect"/>
                  </pic:spPr>
                </pic:pic>
              </a:graphicData>
            </a:graphic>
          </wp:inline>
        </w:drawing>
      </w:r>
    </w:p>
    <w:p>
      <w:pPr>
        <w:spacing w:after="160"/>
        <w:jc w:val="center"/>
      </w:pPr>
      <w:r>
        <w:rPr>
          <w:rFonts w:ascii="Calibri" w:hAnsi="Calibri"/>
          <w:i/>
          <w:color w:val="444A52"/>
          <w:sz w:val="18"/>
        </w:rPr>
        <w:t>La zone corrigé. Elle est autonome : les données fournies y sont recopiées, aucun câble ne la relie à la zone sujet.</w:t>
      </w: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Poser Weave (Sets &gt; List).</w:t>
      </w:r>
    </w:p>
    <w:p>
      <w:pPr>
        <w:spacing w:after="100"/>
        <w:ind w:left="340"/>
      </w:pPr>
      <w:r>
        <w:rPr>
          <w:rFonts w:ascii="Calibri" w:hAnsi="Calibri"/>
          <w:b/>
          <w:color w:val="2E5C8A"/>
          <w:sz w:val="21"/>
        </w:rPr>
        <w:t xml:space="preserve">Étape 2.  </w:t>
      </w:r>
      <w:r>
        <w:rPr>
          <w:rFonts w:ascii="Calibri" w:hAnsi="Calibri"/>
          <w:sz w:val="21"/>
        </w:rPr>
        <w:t>Relier la première liste sur Stream 0, la seconde sur Stream 1.</w:t>
      </w:r>
    </w:p>
    <w:p>
      <w:pPr>
        <w:spacing w:after="100"/>
        <w:ind w:left="340"/>
      </w:pPr>
      <w:r>
        <w:rPr>
          <w:rFonts w:ascii="Calibri" w:hAnsi="Calibri"/>
          <w:b/>
          <w:color w:val="2E5C8A"/>
          <w:sz w:val="21"/>
        </w:rPr>
        <w:t xml:space="preserve">Étape 3.  </w:t>
      </w:r>
      <w:r>
        <w:rPr>
          <w:rFonts w:ascii="Calibri" w:hAnsi="Calibri"/>
          <w:sz w:val="21"/>
        </w:rPr>
        <w:t>Laisser le motif par défaut 0, 1 : l'alternance est automatique.</w:t>
      </w:r>
    </w:p>
    <w:p>
      <w:pPr>
        <w:spacing w:after="100"/>
        <w:ind w:left="340"/>
      </w:pPr>
      <w:r>
        <w:rPr>
          <w:rFonts w:ascii="Calibri" w:hAnsi="Calibri"/>
          <w:b/>
          <w:color w:val="2E5C8A"/>
          <w:sz w:val="21"/>
        </w:rPr>
        <w:t xml:space="preserve">Étape 4.  </w:t>
      </w:r>
      <w:r>
        <w:rPr>
          <w:rFonts w:ascii="Calibri" w:hAnsi="Calibri"/>
          <w:sz w:val="21"/>
        </w:rPr>
        <w:t>Comparer avec Merge qui produirait A, B, C, 1, 2, 3.</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Mettre les deux listes bout à bout : on obtient les dix lames, dans un ordre où les cinq chênes précèdent les cinq noyers. L'effectif est bon, le plateau est faux.</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Confondre Weave (alternance) et Merge (concaténation).</w:t>
      </w:r>
    </w:p>
    <w:p>
      <w:pPr>
        <w:spacing w:after="60"/>
        <w:ind w:left="340"/>
      </w:pPr>
      <w:r>
        <w:rPr>
          <w:rFonts w:ascii="Calibri" w:hAnsi="Calibri"/>
          <w:sz w:val="21"/>
        </w:rPr>
        <w:t>•  Motif de tissage personnalisé mal renseigné.</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Merge, Weave, Panel</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Pourquoi ce jeu de données</w:t>
      </w:r>
    </w:p>
    <w:p>
      <w:pPr>
        <w:spacing w:before="0" w:after="80"/>
      </w:pPr>
      <w:r>
        <w:rPr>
          <w:rFonts w:ascii="Calibri" w:hAnsi="Calibri"/>
          <w:b w:val="0"/>
          <w:i w:val="0"/>
          <w:sz w:val="21"/>
        </w:rPr>
        <w:t>Les deux essences occupent deux plages de longueur distinctes — chêne autour de 1 250, noyer autour de 1 440. L'alternance se contrôle donc à la lecture, et une mise bout à bout se repère au premier coup d'œil. La réponse est numérique, comme l'exige le checker.</w:t>
      </w:r>
    </w:p>
    <w:p>
      <w:pPr>
        <w:spacing w:before="200" w:after="60"/>
      </w:pPr>
      <w:r>
        <w:rPr>
          <w:rFonts w:ascii="Calibri" w:hAnsi="Calibri"/>
          <w:b/>
          <w:color w:val="444A52"/>
          <w:sz w:val="22"/>
        </w:rPr>
        <w:t>Note au formateur</w:t>
      </w:r>
    </w:p>
    <w:tbl>
      <w:tblPr>
        <w:tblW w:type="auto" w:w="0"/>
        <w:jc w:val="center"/>
        <w:tblLook w:firstColumn="1" w:firstRow="1" w:lastColumn="0" w:lastRow="0" w:noHBand="0" w:noVBand="1" w:val="04A0"/>
      </w:tblPr>
      <w:tblGrid>
        <w:gridCol w:w="9298"/>
      </w:tblGrid>
      <w:tr>
        <w:tc>
          <w:tcPr>
            <w:tcW w:type="dxa" w:w="9298"/>
            <w:shd w:val="clear" w:fill="EFEAF6"/>
            <w:tcBorders>
              <w:top w:val="single" w:sz="6" w:color="BFC7D1"/>
              <w:left w:val="single" w:sz="6" w:color="BFC7D1"/>
              <w:bottom w:val="single" w:sz="6" w:color="BFC7D1"/>
              <w:right w:val="single" w:sz="6" w:color="BFC7D1"/>
            </w:tcBorders>
          </w:tcPr>
          <w:p>
            <w:pPr>
              <w:spacing w:before="120" w:after="120"/>
            </w:pPr>
            <w:r>
              <w:rPr>
                <w:rFonts w:ascii="Calibri" w:hAnsi="Calibri"/>
                <w:sz w:val="20"/>
              </w:rPr>
              <w:t>Un seul composant suffit. La compétence réelle — choisir entre mettre bout à bout et entrelacer — gagnerait à être posée en question charnière avant l'exercice.</w:t>
            </w:r>
          </w:p>
        </w:tc>
      </w:tr>
    </w:tbl>
    <w:p>
      <w:pPr>
        <w:spacing w:after="0"/>
      </w:pPr>
    </w:p>
    <w:p>
      <w:pPr>
        <w:spacing w:before="200" w:after="60"/>
      </w:pPr>
      <w:r>
        <w:rPr>
          <w:rFonts w:ascii="Calibri" w:hAnsi="Calibri"/>
          <w:b/>
          <w:color w:val="444A52"/>
          <w:sz w:val="22"/>
        </w:rPr>
        <w:t>Pour aller plus loin</w:t>
      </w:r>
    </w:p>
    <w:p>
      <w:pPr>
        <w:spacing w:after="60"/>
        <w:ind w:left="340"/>
      </w:pPr>
      <w:r>
        <w:rPr>
          <w:rFonts w:ascii="Calibri" w:hAnsi="Calibri"/>
          <w:sz w:val="21"/>
        </w:rPr>
        <w:t>•  Tisser trois listes avec un motif 0, 1, 2.</w:t>
      </w:r>
    </w:p>
    <w:p>
      <w:pPr>
        <w:spacing w:after="60"/>
        <w:ind w:left="340"/>
      </w:pPr>
      <w:r>
        <w:rPr>
          <w:rFonts w:ascii="Calibri" w:hAnsi="Calibri"/>
          <w:sz w:val="21"/>
        </w:rPr>
        <w:t>•  Reconstituer les deux listes d'origine avec Cull Pattern.</w:t>
      </w:r>
    </w:p>
    <w:p>
      <w:pPr>
        <w:spacing w:before="200" w:after="60"/>
      </w:pPr>
      <w:r>
        <w:rPr>
          <w:rFonts w:ascii="Calibri" w:hAnsi="Calibri"/>
          <w:b/>
          <w:color w:val="444A52"/>
          <w:sz w:val="22"/>
        </w:rPr>
        <w:t>Fichiers de cet exercice</w:t>
      </w:r>
    </w:p>
    <w:p>
      <w:pPr>
        <w:spacing w:after="60"/>
        <w:ind w:left="340"/>
      </w:pPr>
      <w:r>
        <w:rPr>
          <w:rFonts w:ascii="Calibri" w:hAnsi="Calibri"/>
          <w:sz w:val="21"/>
        </w:rPr>
        <w:t>•  A-17_sujet.gh — énoncé et données de départ, sans le corrigé</w:t>
      </w:r>
    </w:p>
    <w:p>
      <w:pPr>
        <w:spacing w:after="60"/>
        <w:ind w:left="340"/>
      </w:pPr>
      <w:r>
        <w:rPr>
          <w:rFonts w:ascii="Calibri" w:hAnsi="Calibri"/>
          <w:sz w:val="21"/>
        </w:rPr>
        <w:t>•  A-17_complet.gh — énoncé et corrigé, ce dernier commandé par l'interrupteur</w:t>
      </w:r>
    </w:p>
    <w:p>
      <w:pPr>
        <w:spacing w:after="60"/>
        <w:ind w:left="340"/>
      </w:pPr>
      <w:r>
        <w:rPr>
          <w:rFonts w:ascii="Calibri" w:hAnsi="Calibri"/>
          <w:sz w:val="21"/>
        </w:rPr>
        <w:t>•  A-17.json — descripteur pour le plugin Magpie</w:t>
      </w:r>
    </w:p>
    <w:p>
      <w:pPr>
        <w:spacing w:after="60"/>
        <w:ind w:left="340"/>
      </w:pPr>
      <w:r>
        <w:rPr>
          <w:rFonts w:ascii="Calibri" w:hAnsi="Calibri"/>
          <w:sz w:val="21"/>
        </w:rPr>
        <w:t>•  A-17_fiche.docx — la présente fiche</w:t>
      </w:r>
    </w:p>
    <w:p>
      <w:pPr>
        <w:spacing w:after="60"/>
        <w:ind w:left="340"/>
      </w:pPr>
      <w:r>
        <w:rPr>
          <w:rFonts w:ascii="Calibri" w:hAnsi="Calibri"/>
          <w:sz w:val="21"/>
        </w:rPr>
        <w:t>•  A-17_fiche_sujet.docx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A-17 — Fusionner et entrelacer · v0.3-260826 Ind. 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