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A-28 — Découper et remplacer du texte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A6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un fragment d'une référence structurée et le normaliser.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un fragment d'une référence structurée et le normaliser.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références fournisseur encodent la famille, le code produit et l'essence ; seul le code produit alimente la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références vous sont fournies au format « MEUB-A12-CHENE ». Extrayez le seul code central et livrez-le en minuscules.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6 références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codes en minuscules : a12, b07, …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6 codes sont exacts.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A-28_complet.gh,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85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8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Text Split avec le séparateur - (tiret).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La sortie est un arbre : chaque référence donne une branche de 3 fragments.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List Item avec l'index 1 pour prendre le fragment central de chaque branche.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Text Case en mode Lower.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Découper par position de caractère plutôt que par séparateur : le montage tient tant que la famille fait quatre lettres, et se rompt à la première référence au format différent.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Text Split produit un arbre et non une liste plate.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Espaces parasites : appliquer Trim avant le découpage.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 Split, Replace Text, Text Case, Trim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Même limite qu'en A-27 : le livrable est une liste de codes en minuscules, que le checker ne sait pas comparer. Validation visuelle.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le matériau par un autre avec Replace Text.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Reconstituer la référence complète après modification.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A-28 — Découper et remplacer du texte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